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46" w:rsidRPr="0050624F" w:rsidRDefault="00263546" w:rsidP="00E753FF">
      <w:pPr>
        <w:keepNext/>
        <w:tabs>
          <w:tab w:val="left" w:pos="6284"/>
        </w:tabs>
        <w:outlineLvl w:val="1"/>
        <w:rPr>
          <w:rFonts w:cs="Arial"/>
          <w:color w:val="000000"/>
          <w:szCs w:val="20"/>
          <w:u w:val="single"/>
          <w:lang w:val="it-IT"/>
        </w:rPr>
      </w:pPr>
    </w:p>
    <w:p w:rsidR="00263546" w:rsidRPr="0050624F" w:rsidRDefault="00263546" w:rsidP="00E753FF">
      <w:pPr>
        <w:keepNext/>
        <w:tabs>
          <w:tab w:val="left" w:pos="6284"/>
        </w:tabs>
        <w:outlineLvl w:val="1"/>
        <w:rPr>
          <w:rFonts w:cs="Arial"/>
          <w:color w:val="000000"/>
          <w:szCs w:val="20"/>
          <w:u w:val="single"/>
          <w:lang w:val="it-IT"/>
        </w:rPr>
      </w:pPr>
      <w:r w:rsidRPr="0050624F">
        <w:rPr>
          <w:rFonts w:cs="Arial"/>
          <w:color w:val="000000"/>
          <w:szCs w:val="20"/>
          <w:u w:val="single"/>
          <w:lang w:val="it-IT"/>
        </w:rPr>
        <w:t>Riservato a clienti professionali/qualificati</w:t>
      </w:r>
    </w:p>
    <w:p w:rsidR="006F78BA" w:rsidRPr="0050624F" w:rsidRDefault="006F78BA" w:rsidP="00E753FF">
      <w:pPr>
        <w:jc w:val="center"/>
        <w:rPr>
          <w:rFonts w:cs="Arial"/>
          <w:b/>
          <w:szCs w:val="20"/>
          <w:lang w:val="it-IT"/>
        </w:rPr>
      </w:pPr>
    </w:p>
    <w:p w:rsidR="009308A2" w:rsidRDefault="009308A2" w:rsidP="00E753FF">
      <w:pPr>
        <w:jc w:val="center"/>
        <w:rPr>
          <w:rFonts w:eastAsia="Arial" w:cs="Arial"/>
          <w:b/>
          <w:bCs/>
          <w:sz w:val="28"/>
          <w:szCs w:val="20"/>
          <w:lang w:val="it-IT"/>
        </w:rPr>
      </w:pPr>
    </w:p>
    <w:p w:rsidR="005D1E82" w:rsidRPr="005D1E82" w:rsidRDefault="005D1E82" w:rsidP="005D1E82">
      <w:pPr>
        <w:jc w:val="center"/>
        <w:rPr>
          <w:rFonts w:eastAsia="Arial" w:cs="Arial"/>
          <w:b/>
          <w:bCs/>
          <w:sz w:val="28"/>
          <w:szCs w:val="20"/>
          <w:lang w:val="it-IT"/>
        </w:rPr>
      </w:pPr>
      <w:r w:rsidRPr="005D1E82">
        <w:rPr>
          <w:rFonts w:eastAsia="Arial" w:cs="Arial"/>
          <w:b/>
          <w:bCs/>
          <w:sz w:val="28"/>
          <w:szCs w:val="20"/>
          <w:lang w:val="it-IT"/>
        </w:rPr>
        <w:t xml:space="preserve">Lo studio di </w:t>
      </w:r>
      <w:proofErr w:type="spellStart"/>
      <w:r w:rsidRPr="005D1E82">
        <w:rPr>
          <w:rFonts w:eastAsia="Arial" w:cs="Arial"/>
          <w:b/>
          <w:bCs/>
          <w:sz w:val="28"/>
          <w:szCs w:val="20"/>
          <w:lang w:val="it-IT"/>
        </w:rPr>
        <w:t>BlackRock</w:t>
      </w:r>
      <w:proofErr w:type="spellEnd"/>
      <w:r w:rsidRPr="005D1E82">
        <w:rPr>
          <w:rFonts w:eastAsia="Arial" w:cs="Arial"/>
          <w:b/>
          <w:bCs/>
          <w:sz w:val="28"/>
          <w:szCs w:val="20"/>
          <w:lang w:val="it-IT"/>
        </w:rPr>
        <w:t>:</w:t>
      </w:r>
    </w:p>
    <w:p w:rsidR="005D1E82" w:rsidRPr="005D1E82" w:rsidRDefault="005D1E82" w:rsidP="005D1E82">
      <w:pPr>
        <w:jc w:val="center"/>
        <w:rPr>
          <w:rFonts w:eastAsia="Arial" w:cs="Arial"/>
          <w:b/>
          <w:bCs/>
          <w:sz w:val="28"/>
          <w:szCs w:val="20"/>
          <w:lang w:val="it-IT"/>
        </w:rPr>
      </w:pPr>
      <w:r w:rsidRPr="005D1E82">
        <w:rPr>
          <w:rFonts w:eastAsia="Arial" w:cs="Arial"/>
          <w:b/>
          <w:bCs/>
          <w:sz w:val="28"/>
          <w:szCs w:val="20"/>
          <w:lang w:val="it-IT"/>
        </w:rPr>
        <w:t xml:space="preserve">L’evoluzione dei piani pensionistici a prestazione definita per definire modelli di pensionamento globali </w:t>
      </w:r>
    </w:p>
    <w:p w:rsidR="00774740" w:rsidRDefault="00774740" w:rsidP="00E753FF">
      <w:pPr>
        <w:jc w:val="center"/>
        <w:rPr>
          <w:rFonts w:eastAsia="Arial" w:cs="Arial"/>
          <w:b/>
          <w:bCs/>
          <w:sz w:val="28"/>
          <w:szCs w:val="20"/>
          <w:lang w:val="it-IT"/>
        </w:rPr>
      </w:pPr>
    </w:p>
    <w:p w:rsidR="009308A2" w:rsidRPr="0050624F" w:rsidRDefault="009308A2" w:rsidP="00E753FF">
      <w:pPr>
        <w:jc w:val="center"/>
        <w:rPr>
          <w:rFonts w:eastAsia="Arial" w:cs="Arial"/>
          <w:szCs w:val="20"/>
          <w:lang w:val="it-IT"/>
        </w:rPr>
      </w:pPr>
    </w:p>
    <w:p w:rsidR="00734599" w:rsidRPr="00F25A47" w:rsidRDefault="00125934" w:rsidP="008A37C5">
      <w:pPr>
        <w:autoSpaceDE w:val="0"/>
        <w:autoSpaceDN w:val="0"/>
        <w:adjustRightInd w:val="0"/>
        <w:jc w:val="both"/>
        <w:rPr>
          <w:rFonts w:cs="Arial"/>
          <w:szCs w:val="20"/>
          <w:lang w:val="it-IT"/>
        </w:rPr>
      </w:pPr>
      <w:bookmarkStart w:id="0" w:name="_GoBack"/>
      <w:r w:rsidRPr="00125934">
        <w:rPr>
          <w:rFonts w:cs="Arial"/>
          <w:b/>
          <w:szCs w:val="20"/>
          <w:lang w:val="it-IT"/>
        </w:rPr>
        <w:t>Milano,</w:t>
      </w:r>
      <w:r w:rsidR="006A4E73" w:rsidRPr="00125934">
        <w:rPr>
          <w:rFonts w:cs="Arial"/>
          <w:b/>
          <w:szCs w:val="20"/>
          <w:lang w:val="it-IT"/>
        </w:rPr>
        <w:t xml:space="preserve"> </w:t>
      </w:r>
      <w:r w:rsidR="005D1E82" w:rsidRPr="00125934">
        <w:rPr>
          <w:rFonts w:cs="Arial"/>
          <w:b/>
          <w:szCs w:val="20"/>
          <w:lang w:val="it-IT"/>
        </w:rPr>
        <w:t>15 maggio</w:t>
      </w:r>
      <w:r w:rsidR="006A4E73" w:rsidRPr="00125934">
        <w:rPr>
          <w:rFonts w:cs="Arial"/>
          <w:b/>
          <w:szCs w:val="20"/>
          <w:lang w:val="it-IT"/>
        </w:rPr>
        <w:t xml:space="preserve"> 2018 </w:t>
      </w:r>
      <w:bookmarkEnd w:id="0"/>
      <w:r w:rsidR="006A4E73" w:rsidRPr="0050624F">
        <w:rPr>
          <w:rFonts w:cs="Arial"/>
          <w:szCs w:val="20"/>
          <w:lang w:val="it-IT"/>
        </w:rPr>
        <w:t xml:space="preserve">– </w:t>
      </w:r>
      <w:proofErr w:type="spellStart"/>
      <w:r w:rsidR="006A4E73" w:rsidRPr="0050624F">
        <w:rPr>
          <w:rFonts w:cs="Arial"/>
          <w:szCs w:val="20"/>
          <w:lang w:val="it-IT"/>
        </w:rPr>
        <w:t>BlackRock</w:t>
      </w:r>
      <w:proofErr w:type="spellEnd"/>
      <w:r w:rsidR="006A4E73" w:rsidRPr="0050624F">
        <w:rPr>
          <w:rFonts w:cs="Arial"/>
          <w:szCs w:val="20"/>
          <w:lang w:val="it-IT"/>
        </w:rPr>
        <w:t xml:space="preserve"> ha pubblicato un nuovo studio sui progressi </w:t>
      </w:r>
      <w:r w:rsidR="008A37C5">
        <w:rPr>
          <w:rFonts w:cs="Arial"/>
          <w:szCs w:val="20"/>
          <w:lang w:val="it-IT"/>
        </w:rPr>
        <w:t xml:space="preserve">compiuti dai </w:t>
      </w:r>
      <w:r w:rsidR="006A4E73" w:rsidRPr="0050624F">
        <w:rPr>
          <w:rFonts w:cs="Arial"/>
          <w:szCs w:val="20"/>
          <w:lang w:val="it-IT"/>
        </w:rPr>
        <w:t xml:space="preserve">fondi pensione a prestazione definita </w:t>
      </w:r>
      <w:r w:rsidR="00F25A47">
        <w:rPr>
          <w:rFonts w:cs="Arial"/>
          <w:szCs w:val="20"/>
          <w:lang w:val="it-IT"/>
        </w:rPr>
        <w:t xml:space="preserve">nel contesto di </w:t>
      </w:r>
      <w:r w:rsidR="006A4E73" w:rsidRPr="0050624F">
        <w:rPr>
          <w:rFonts w:cs="Arial"/>
          <w:szCs w:val="20"/>
          <w:lang w:val="it-IT"/>
        </w:rPr>
        <w:t xml:space="preserve">due </w:t>
      </w:r>
      <w:r w:rsidR="00F25A47">
        <w:rPr>
          <w:rFonts w:cs="Arial"/>
          <w:szCs w:val="20"/>
          <w:lang w:val="it-IT"/>
        </w:rPr>
        <w:t xml:space="preserve">distinti scenari </w:t>
      </w:r>
      <w:r w:rsidR="006A4E73" w:rsidRPr="0050624F">
        <w:rPr>
          <w:rFonts w:cs="Arial"/>
          <w:szCs w:val="20"/>
          <w:lang w:val="it-IT"/>
        </w:rPr>
        <w:t>futuri</w:t>
      </w:r>
      <w:r w:rsidR="00F25A47">
        <w:rPr>
          <w:rFonts w:cs="Arial"/>
          <w:szCs w:val="20"/>
          <w:lang w:val="it-IT"/>
        </w:rPr>
        <w:t xml:space="preserve">. </w:t>
      </w:r>
      <w:r w:rsidR="006A4E73" w:rsidRPr="0050624F">
        <w:rPr>
          <w:rFonts w:cs="Arial"/>
          <w:szCs w:val="20"/>
          <w:lang w:val="it-IT"/>
        </w:rPr>
        <w:t>L</w:t>
      </w:r>
      <w:r w:rsidR="00F25A47">
        <w:rPr>
          <w:rFonts w:cs="Arial"/>
          <w:szCs w:val="20"/>
          <w:lang w:val="it-IT"/>
        </w:rPr>
        <w:t xml:space="preserve">’analisi </w:t>
      </w:r>
      <w:r w:rsidR="006A4E73" w:rsidRPr="0050624F">
        <w:rPr>
          <w:rFonts w:cs="Arial"/>
          <w:szCs w:val="20"/>
          <w:lang w:val="it-IT"/>
        </w:rPr>
        <w:t>confronta i cambiamenti in atto nei piani aziendali a prestazione definita, in progressiva chiusura, con l’evoluzione degli schemi pubblici e di altri piani non aziendali,</w:t>
      </w:r>
      <w:r w:rsidR="00F25A47">
        <w:rPr>
          <w:rFonts w:cs="Arial"/>
          <w:szCs w:val="20"/>
          <w:lang w:val="it-IT"/>
        </w:rPr>
        <w:t xml:space="preserve"> che mirano ad un </w:t>
      </w:r>
      <w:r w:rsidR="00121BAA">
        <w:rPr>
          <w:rFonts w:cs="Arial"/>
          <w:szCs w:val="20"/>
          <w:lang w:val="it-IT"/>
        </w:rPr>
        <w:t xml:space="preserve">prossimo </w:t>
      </w:r>
      <w:r w:rsidR="00F25A47">
        <w:rPr>
          <w:rFonts w:cs="Arial"/>
          <w:szCs w:val="20"/>
          <w:lang w:val="it-IT"/>
        </w:rPr>
        <w:t>consolidamento</w:t>
      </w:r>
      <w:r w:rsidR="00121BAA">
        <w:rPr>
          <w:rFonts w:cs="Arial"/>
          <w:szCs w:val="20"/>
          <w:lang w:val="it-IT"/>
        </w:rPr>
        <w:t>.</w:t>
      </w:r>
      <w:r w:rsidR="000406B2">
        <w:rPr>
          <w:rFonts w:cs="Arial"/>
          <w:szCs w:val="20"/>
          <w:lang w:val="it-IT"/>
        </w:rPr>
        <w:t xml:space="preserve"> </w:t>
      </w:r>
    </w:p>
    <w:p w:rsidR="00861D34" w:rsidRPr="0050624F" w:rsidRDefault="00861D34" w:rsidP="00874472">
      <w:pPr>
        <w:jc w:val="both"/>
        <w:rPr>
          <w:rFonts w:eastAsia="Arial" w:cs="Arial"/>
          <w:szCs w:val="20"/>
          <w:lang w:val="it-IT"/>
        </w:rPr>
      </w:pPr>
    </w:p>
    <w:p w:rsidR="00946294" w:rsidRPr="0050624F" w:rsidRDefault="009A179A" w:rsidP="00874472">
      <w:pPr>
        <w:jc w:val="both"/>
        <w:rPr>
          <w:rFonts w:eastAsia="Arial" w:cs="Arial"/>
          <w:szCs w:val="20"/>
          <w:lang w:val="it-IT"/>
        </w:rPr>
      </w:pPr>
      <w:r w:rsidRPr="0050624F">
        <w:rPr>
          <w:rFonts w:eastAsia="Arial" w:cs="Arial"/>
          <w:i/>
          <w:iCs/>
          <w:szCs w:val="20"/>
          <w:lang w:val="it-IT"/>
        </w:rPr>
        <w:t>Sfide comuni, percorsi divergenti</w:t>
      </w:r>
      <w:r w:rsidRPr="0050624F">
        <w:rPr>
          <w:rFonts w:eastAsia="Arial" w:cs="Arial"/>
          <w:szCs w:val="20"/>
          <w:lang w:val="it-IT"/>
        </w:rPr>
        <w:t xml:space="preserve">, uno studio basato su un’indagine condotta tra 300 senior executive di piani pensionistici aziendali e di altra natura e </w:t>
      </w:r>
      <w:r w:rsidR="00F63C1E">
        <w:rPr>
          <w:rFonts w:eastAsia="Arial" w:cs="Arial"/>
          <w:szCs w:val="20"/>
          <w:lang w:val="it-IT"/>
        </w:rPr>
        <w:t>tra</w:t>
      </w:r>
      <w:r w:rsidRPr="0050624F">
        <w:rPr>
          <w:rFonts w:eastAsia="Arial" w:cs="Arial"/>
          <w:szCs w:val="20"/>
          <w:lang w:val="it-IT"/>
        </w:rPr>
        <w:t xml:space="preserve"> una serie di interviste a importanti CIO, ha evidenziato </w:t>
      </w:r>
      <w:r w:rsidR="00F63C1E">
        <w:rPr>
          <w:rFonts w:eastAsia="Arial" w:cs="Arial"/>
          <w:szCs w:val="20"/>
          <w:lang w:val="it-IT"/>
        </w:rPr>
        <w:t>aspetti</w:t>
      </w:r>
      <w:r w:rsidRPr="0050624F">
        <w:rPr>
          <w:rFonts w:eastAsia="Arial" w:cs="Arial"/>
          <w:szCs w:val="20"/>
          <w:lang w:val="it-IT"/>
        </w:rPr>
        <w:t xml:space="preserve"> comun</w:t>
      </w:r>
      <w:r w:rsidR="00F63C1E">
        <w:rPr>
          <w:rFonts w:eastAsia="Arial" w:cs="Arial"/>
          <w:szCs w:val="20"/>
          <w:lang w:val="it-IT"/>
        </w:rPr>
        <w:t>i</w:t>
      </w:r>
      <w:r w:rsidRPr="0050624F">
        <w:rPr>
          <w:rFonts w:eastAsia="Arial" w:cs="Arial"/>
          <w:szCs w:val="20"/>
          <w:lang w:val="it-IT"/>
        </w:rPr>
        <w:t xml:space="preserve"> sull</w:t>
      </w:r>
      <w:r w:rsidR="00F63C1E">
        <w:rPr>
          <w:rFonts w:eastAsia="Arial" w:cs="Arial"/>
          <w:szCs w:val="20"/>
          <w:lang w:val="it-IT"/>
        </w:rPr>
        <w:t xml:space="preserve">a necessità di </w:t>
      </w:r>
      <w:r w:rsidRPr="0050624F">
        <w:rPr>
          <w:rFonts w:eastAsia="Arial" w:cs="Arial"/>
          <w:szCs w:val="20"/>
          <w:lang w:val="it-IT"/>
        </w:rPr>
        <w:t xml:space="preserve">evoluzione della </w:t>
      </w:r>
      <w:proofErr w:type="spellStart"/>
      <w:r w:rsidRPr="0050624F">
        <w:rPr>
          <w:rFonts w:eastAsia="Arial" w:cs="Arial"/>
          <w:szCs w:val="20"/>
          <w:lang w:val="it-IT"/>
        </w:rPr>
        <w:t>governance</w:t>
      </w:r>
      <w:proofErr w:type="spellEnd"/>
      <w:r w:rsidRPr="0050624F">
        <w:rPr>
          <w:rFonts w:eastAsia="Arial" w:cs="Arial"/>
          <w:szCs w:val="20"/>
          <w:lang w:val="it-IT"/>
        </w:rPr>
        <w:t xml:space="preserve"> e delle politiche di investimento</w:t>
      </w:r>
      <w:r w:rsidR="007C5AA6">
        <w:rPr>
          <w:rFonts w:eastAsia="Arial" w:cs="Arial"/>
          <w:szCs w:val="20"/>
          <w:lang w:val="it-IT"/>
        </w:rPr>
        <w:t>,</w:t>
      </w:r>
      <w:r w:rsidRPr="0050624F">
        <w:rPr>
          <w:rFonts w:eastAsia="Arial" w:cs="Arial"/>
          <w:szCs w:val="20"/>
          <w:lang w:val="it-IT"/>
        </w:rPr>
        <w:t xml:space="preserve"> in risposta alle sfide economiche, finanziarie e demografiche che i gruppi </w:t>
      </w:r>
      <w:r w:rsidR="00F63C1E">
        <w:rPr>
          <w:rFonts w:eastAsia="Arial" w:cs="Arial"/>
          <w:szCs w:val="20"/>
          <w:lang w:val="it-IT"/>
        </w:rPr>
        <w:t xml:space="preserve">interpellati </w:t>
      </w:r>
      <w:r w:rsidRPr="0050624F">
        <w:rPr>
          <w:rFonts w:eastAsia="Arial" w:cs="Arial"/>
          <w:szCs w:val="20"/>
          <w:lang w:val="it-IT"/>
        </w:rPr>
        <w:t>si trovano ad affrontare. La ricerca ha individuato</w:t>
      </w:r>
      <w:r w:rsidR="00F63C1E">
        <w:rPr>
          <w:rFonts w:eastAsia="Arial" w:cs="Arial"/>
          <w:szCs w:val="20"/>
          <w:lang w:val="it-IT"/>
        </w:rPr>
        <w:t>,</w:t>
      </w:r>
      <w:r w:rsidRPr="0050624F">
        <w:rPr>
          <w:rFonts w:eastAsia="Arial" w:cs="Arial"/>
          <w:szCs w:val="20"/>
          <w:lang w:val="it-IT"/>
        </w:rPr>
        <w:t xml:space="preserve"> inoltre</w:t>
      </w:r>
      <w:r w:rsidR="00F63C1E">
        <w:rPr>
          <w:rFonts w:eastAsia="Arial" w:cs="Arial"/>
          <w:szCs w:val="20"/>
          <w:lang w:val="it-IT"/>
        </w:rPr>
        <w:t>,</w:t>
      </w:r>
      <w:r w:rsidRPr="0050624F">
        <w:rPr>
          <w:rFonts w:eastAsia="Arial" w:cs="Arial"/>
          <w:szCs w:val="20"/>
          <w:lang w:val="it-IT"/>
        </w:rPr>
        <w:t xml:space="preserve"> </w:t>
      </w:r>
      <w:r w:rsidR="00F63C1E">
        <w:rPr>
          <w:rFonts w:eastAsia="Arial" w:cs="Arial"/>
          <w:szCs w:val="20"/>
          <w:lang w:val="it-IT"/>
        </w:rPr>
        <w:t xml:space="preserve">anche </w:t>
      </w:r>
      <w:r w:rsidRPr="0050624F">
        <w:rPr>
          <w:rFonts w:eastAsia="Arial" w:cs="Arial"/>
          <w:szCs w:val="20"/>
          <w:lang w:val="it-IT"/>
        </w:rPr>
        <w:t xml:space="preserve">alcune aree </w:t>
      </w:r>
      <w:r w:rsidR="00F63C1E">
        <w:rPr>
          <w:rFonts w:eastAsia="Arial" w:cs="Arial"/>
          <w:szCs w:val="20"/>
          <w:lang w:val="it-IT"/>
        </w:rPr>
        <w:t>“divergenti”</w:t>
      </w:r>
      <w:r w:rsidRPr="0050624F">
        <w:rPr>
          <w:rFonts w:eastAsia="Arial" w:cs="Arial"/>
          <w:szCs w:val="20"/>
          <w:lang w:val="it-IT"/>
        </w:rPr>
        <w:t>. Sul fronte aziendale, le priorità sono il de-</w:t>
      </w:r>
      <w:proofErr w:type="spellStart"/>
      <w:r w:rsidRPr="0050624F">
        <w:rPr>
          <w:rFonts w:eastAsia="Arial" w:cs="Arial"/>
          <w:szCs w:val="20"/>
          <w:lang w:val="it-IT"/>
        </w:rPr>
        <w:t>risking</w:t>
      </w:r>
      <w:proofErr w:type="spellEnd"/>
      <w:r w:rsidR="00F63C1E">
        <w:rPr>
          <w:rFonts w:eastAsia="Arial" w:cs="Arial"/>
          <w:szCs w:val="20"/>
          <w:lang w:val="it-IT"/>
        </w:rPr>
        <w:t xml:space="preserve"> e </w:t>
      </w:r>
      <w:r w:rsidRPr="0050624F">
        <w:rPr>
          <w:rFonts w:eastAsia="Arial" w:cs="Arial"/>
          <w:szCs w:val="20"/>
          <w:lang w:val="it-IT"/>
        </w:rPr>
        <w:t xml:space="preserve">il coordinamento internazionale </w:t>
      </w:r>
      <w:r w:rsidR="00F63C1E">
        <w:rPr>
          <w:rFonts w:eastAsia="Arial" w:cs="Arial"/>
          <w:szCs w:val="20"/>
          <w:lang w:val="it-IT"/>
        </w:rPr>
        <w:t>in caso di</w:t>
      </w:r>
      <w:r w:rsidRPr="0050624F">
        <w:rPr>
          <w:rFonts w:eastAsia="Arial" w:cs="Arial"/>
          <w:szCs w:val="20"/>
          <w:lang w:val="it-IT"/>
        </w:rPr>
        <w:t xml:space="preserve"> multinazionali. I piani non aziendali puntano</w:t>
      </w:r>
      <w:r w:rsidR="00F63C1E">
        <w:rPr>
          <w:rFonts w:eastAsia="Arial" w:cs="Arial"/>
          <w:szCs w:val="20"/>
          <w:lang w:val="it-IT"/>
        </w:rPr>
        <w:t>,</w:t>
      </w:r>
      <w:r w:rsidRPr="0050624F">
        <w:rPr>
          <w:rFonts w:eastAsia="Arial" w:cs="Arial"/>
          <w:szCs w:val="20"/>
          <w:lang w:val="it-IT"/>
        </w:rPr>
        <w:t xml:space="preserve"> invece</w:t>
      </w:r>
      <w:r w:rsidR="00F63C1E">
        <w:rPr>
          <w:rFonts w:eastAsia="Arial" w:cs="Arial"/>
          <w:szCs w:val="20"/>
          <w:lang w:val="it-IT"/>
        </w:rPr>
        <w:t>,</w:t>
      </w:r>
      <w:r w:rsidRPr="0050624F">
        <w:rPr>
          <w:rFonts w:eastAsia="Arial" w:cs="Arial"/>
          <w:szCs w:val="20"/>
          <w:lang w:val="it-IT"/>
        </w:rPr>
        <w:t xml:space="preserve"> a migliorare la capacità di investire in asset privati. </w:t>
      </w:r>
    </w:p>
    <w:p w:rsidR="00946294" w:rsidRPr="0050624F" w:rsidRDefault="00946294" w:rsidP="00874472">
      <w:pPr>
        <w:jc w:val="both"/>
        <w:rPr>
          <w:rFonts w:eastAsia="Arial" w:cs="Arial"/>
          <w:szCs w:val="20"/>
          <w:lang w:val="it-IT"/>
        </w:rPr>
      </w:pPr>
    </w:p>
    <w:p w:rsidR="00874472" w:rsidRPr="0050624F" w:rsidRDefault="003C5353" w:rsidP="00874472">
      <w:pPr>
        <w:jc w:val="both"/>
        <w:rPr>
          <w:rFonts w:eastAsia="Arial" w:cs="Arial"/>
          <w:szCs w:val="20"/>
          <w:lang w:val="it-IT"/>
        </w:rPr>
      </w:pPr>
      <w:r w:rsidRPr="0050624F">
        <w:rPr>
          <w:rFonts w:eastAsia="Arial" w:cs="Arial"/>
          <w:szCs w:val="20"/>
          <w:lang w:val="it-IT"/>
        </w:rPr>
        <w:t xml:space="preserve">Il commento di Edwin Conway, Global Head of BlackRock’s Institutional Client Business: “Oggi i leader del settore previdenza sono in prima linea nella transizione storica e urgente dei sistemi pensionistici. La capacità di gestire questo contesto mutevole, </w:t>
      </w:r>
      <w:r w:rsidR="0075152E" w:rsidRPr="0050624F">
        <w:rPr>
          <w:rFonts w:eastAsia="Arial" w:cs="Arial"/>
          <w:szCs w:val="20"/>
          <w:lang w:val="it-IT"/>
        </w:rPr>
        <w:t xml:space="preserve">di </w:t>
      </w:r>
      <w:r w:rsidRPr="0050624F">
        <w:rPr>
          <w:rFonts w:eastAsia="Arial" w:cs="Arial"/>
          <w:szCs w:val="20"/>
          <w:lang w:val="it-IT"/>
        </w:rPr>
        <w:t xml:space="preserve">cercare stili di investimento efficienti e ad alto rendimento e </w:t>
      </w:r>
      <w:r w:rsidR="0075152E" w:rsidRPr="0050624F">
        <w:rPr>
          <w:rFonts w:eastAsia="Arial" w:cs="Arial"/>
          <w:szCs w:val="20"/>
          <w:lang w:val="it-IT"/>
        </w:rPr>
        <w:t xml:space="preserve">di </w:t>
      </w:r>
      <w:r w:rsidRPr="0050624F">
        <w:rPr>
          <w:rFonts w:eastAsia="Arial" w:cs="Arial"/>
          <w:szCs w:val="20"/>
          <w:lang w:val="it-IT"/>
        </w:rPr>
        <w:t xml:space="preserve">affrontare le sfide derivanti da nuovi regimi normativi e di governance sarà essenziale per i piani pensionistici aziendali </w:t>
      </w:r>
      <w:r w:rsidR="008A37C5">
        <w:rPr>
          <w:rFonts w:eastAsia="Arial" w:cs="Arial"/>
          <w:szCs w:val="20"/>
          <w:lang w:val="it-IT"/>
        </w:rPr>
        <w:t>e</w:t>
      </w:r>
      <w:r w:rsidRPr="0050624F">
        <w:rPr>
          <w:rFonts w:eastAsia="Arial" w:cs="Arial"/>
          <w:szCs w:val="20"/>
          <w:lang w:val="it-IT"/>
        </w:rPr>
        <w:t xml:space="preserve"> pubblici. Sebbene in molte aree i loro percorsi siano divergenti, entrambi svolgono un ruolo cruciale nel ridefinire i modelli di pensionamento globali</w:t>
      </w:r>
      <w:r w:rsidR="008A37C5">
        <w:rPr>
          <w:rFonts w:eastAsia="Arial" w:cs="Arial"/>
          <w:szCs w:val="20"/>
          <w:lang w:val="it-IT"/>
        </w:rPr>
        <w:t>”</w:t>
      </w:r>
      <w:r w:rsidRPr="0050624F">
        <w:rPr>
          <w:rFonts w:eastAsia="Arial" w:cs="Arial"/>
          <w:szCs w:val="20"/>
          <w:lang w:val="it-IT"/>
        </w:rPr>
        <w:t xml:space="preserve">. </w:t>
      </w:r>
    </w:p>
    <w:p w:rsidR="00874472" w:rsidRPr="0050624F" w:rsidRDefault="00874472" w:rsidP="006877FB">
      <w:pPr>
        <w:rPr>
          <w:rFonts w:eastAsia="Arial" w:cs="Arial"/>
          <w:szCs w:val="20"/>
          <w:lang w:val="it-IT"/>
        </w:rPr>
      </w:pPr>
    </w:p>
    <w:p w:rsidR="008C5FB0" w:rsidRPr="0050624F" w:rsidRDefault="008C5FB0" w:rsidP="008C5FB0">
      <w:pPr>
        <w:rPr>
          <w:rFonts w:eastAsia="Arial" w:cs="Arial"/>
          <w:b/>
          <w:szCs w:val="20"/>
          <w:lang w:val="it-IT"/>
        </w:rPr>
      </w:pPr>
      <w:r w:rsidRPr="0050624F">
        <w:rPr>
          <w:rFonts w:eastAsia="Arial" w:cs="Arial"/>
          <w:b/>
          <w:bCs/>
          <w:szCs w:val="20"/>
          <w:lang w:val="it-IT"/>
        </w:rPr>
        <w:t xml:space="preserve">Sfide comuni sul fronte della governance e del rischio </w:t>
      </w:r>
    </w:p>
    <w:p w:rsidR="008C5FB0" w:rsidRPr="0050624F" w:rsidRDefault="008C5FB0" w:rsidP="008C5FB0">
      <w:pPr>
        <w:rPr>
          <w:rFonts w:eastAsia="Arial" w:cs="Arial"/>
          <w:b/>
          <w:szCs w:val="20"/>
          <w:lang w:val="it-IT"/>
        </w:rPr>
      </w:pPr>
    </w:p>
    <w:p w:rsidR="008C5FB0" w:rsidRPr="0050624F" w:rsidRDefault="008C5FB0" w:rsidP="008C5FB0">
      <w:pPr>
        <w:jc w:val="both"/>
        <w:rPr>
          <w:rFonts w:cs="Arial"/>
          <w:szCs w:val="20"/>
          <w:lang w:val="it-IT"/>
        </w:rPr>
      </w:pPr>
      <w:r w:rsidRPr="0050624F">
        <w:rPr>
          <w:rFonts w:cs="Arial"/>
          <w:szCs w:val="20"/>
          <w:lang w:val="it-IT"/>
        </w:rPr>
        <w:t>Negli ultimi tre anni i piani pensionistici, sia aziendali che di altra natura, hanno riservato sempre maggiore attenzione alla governance e alla politica di investimento, esprimendo particolare preoccupazione per la gestione del rischio e la sua adeguata remunerazione. Quasi tre quarti (74%) affermano di avere elaborato o rivisitato una dichiarazione di propensione al rischio, mentre il 72% dichiara di avere elaborato o rivisitato le proprie “investment belief”. Circa il 70% ha migliorato l’analisi del rischio, mentre il 69% ha approfondito l’esame delle commissioni di investimento.</w:t>
      </w:r>
    </w:p>
    <w:p w:rsidR="00556587" w:rsidRPr="0050624F" w:rsidRDefault="00556587" w:rsidP="008C5FB0">
      <w:pPr>
        <w:jc w:val="both"/>
        <w:rPr>
          <w:rFonts w:cs="Arial"/>
          <w:szCs w:val="20"/>
          <w:lang w:val="it-IT"/>
        </w:rPr>
      </w:pPr>
    </w:p>
    <w:p w:rsidR="00556587" w:rsidRPr="0050624F" w:rsidRDefault="00556587" w:rsidP="00556587">
      <w:pPr>
        <w:jc w:val="both"/>
        <w:rPr>
          <w:rFonts w:cs="Arial"/>
          <w:szCs w:val="20"/>
          <w:lang w:val="it-IT"/>
        </w:rPr>
      </w:pPr>
      <w:r w:rsidRPr="0050624F">
        <w:rPr>
          <w:rFonts w:cs="Arial"/>
          <w:szCs w:val="20"/>
          <w:lang w:val="it-IT"/>
        </w:rPr>
        <w:t xml:space="preserve">La barriera che ostacola maggiormente il cambiamento a livello di governance e politica di investimento, </w:t>
      </w:r>
      <w:r w:rsidR="00C743C2">
        <w:rPr>
          <w:rFonts w:cs="Arial"/>
          <w:szCs w:val="20"/>
          <w:lang w:val="it-IT"/>
        </w:rPr>
        <w:t>per le due tipologie di piani</w:t>
      </w:r>
      <w:r w:rsidRPr="0050624F">
        <w:rPr>
          <w:rFonts w:cs="Arial"/>
          <w:szCs w:val="20"/>
          <w:lang w:val="it-IT"/>
        </w:rPr>
        <w:t xml:space="preserve">, è la mancanza di risorse finanziarie, citata dal 65% dei partecipanti. </w:t>
      </w:r>
    </w:p>
    <w:p w:rsidR="00556587" w:rsidRPr="0050624F" w:rsidRDefault="00556587" w:rsidP="00556587">
      <w:pPr>
        <w:jc w:val="both"/>
        <w:rPr>
          <w:rFonts w:cs="Arial"/>
          <w:szCs w:val="20"/>
          <w:lang w:val="it-IT"/>
        </w:rPr>
      </w:pPr>
    </w:p>
    <w:p w:rsidR="00556587" w:rsidRPr="0050624F" w:rsidRDefault="00556587" w:rsidP="00556587">
      <w:pPr>
        <w:jc w:val="both"/>
        <w:rPr>
          <w:rFonts w:eastAsia="Arial" w:cs="Arial"/>
          <w:b/>
          <w:szCs w:val="20"/>
          <w:lang w:val="it-IT"/>
        </w:rPr>
      </w:pPr>
      <w:r w:rsidRPr="0050624F">
        <w:rPr>
          <w:rFonts w:eastAsia="Arial" w:cs="Arial"/>
          <w:b/>
          <w:bCs/>
          <w:szCs w:val="20"/>
          <w:lang w:val="it-IT"/>
        </w:rPr>
        <w:t>De-risking, coordinamento e fase finale per</w:t>
      </w:r>
      <w:r w:rsidR="0075152E" w:rsidRPr="0050624F">
        <w:rPr>
          <w:rFonts w:eastAsia="Arial" w:cs="Arial"/>
          <w:b/>
          <w:bCs/>
          <w:szCs w:val="20"/>
          <w:lang w:val="it-IT"/>
        </w:rPr>
        <w:t xml:space="preserve"> i piani aziendali</w:t>
      </w:r>
    </w:p>
    <w:p w:rsidR="00556587" w:rsidRPr="0050624F" w:rsidRDefault="00556587" w:rsidP="00556587">
      <w:pPr>
        <w:jc w:val="both"/>
        <w:rPr>
          <w:rFonts w:eastAsia="Arial" w:cs="Arial"/>
          <w:szCs w:val="20"/>
          <w:lang w:val="it-IT"/>
        </w:rPr>
      </w:pPr>
    </w:p>
    <w:p w:rsidR="00556587" w:rsidRPr="0050624F" w:rsidRDefault="00556587" w:rsidP="00556587">
      <w:pPr>
        <w:jc w:val="both"/>
        <w:rPr>
          <w:rFonts w:cs="Arial"/>
          <w:szCs w:val="20"/>
          <w:lang w:val="it-IT"/>
        </w:rPr>
      </w:pPr>
      <w:r w:rsidRPr="0050624F">
        <w:rPr>
          <w:rFonts w:cs="Arial"/>
          <w:szCs w:val="20"/>
          <w:lang w:val="it-IT"/>
        </w:rPr>
        <w:t>Secondo l’indagine, quasi tre piani aziendali a prestazione definita su quattro (73%) seguono una strategia di de-risking, una quota che sale a quattro su cinque negli Stati Uniti e a nove su dieci nel Regno Unito. Rispetto ai piani di minori dimensioni (</w:t>
      </w:r>
      <w:r w:rsidR="00C743C2">
        <w:rPr>
          <w:rFonts w:cs="Arial"/>
          <w:szCs w:val="20"/>
          <w:lang w:val="it-IT"/>
        </w:rPr>
        <w:t xml:space="preserve">AUM inferiori a </w:t>
      </w:r>
      <w:r w:rsidRPr="0050624F">
        <w:rPr>
          <w:rFonts w:cs="Arial"/>
          <w:szCs w:val="20"/>
          <w:lang w:val="it-IT"/>
        </w:rPr>
        <w:t>USD</w:t>
      </w:r>
      <w:r w:rsidR="00C743C2">
        <w:rPr>
          <w:rFonts w:cs="Arial"/>
          <w:szCs w:val="20"/>
          <w:lang w:val="it-IT"/>
        </w:rPr>
        <w:t xml:space="preserve"> </w:t>
      </w:r>
      <w:r w:rsidRPr="0050624F">
        <w:rPr>
          <w:rFonts w:cs="Arial"/>
          <w:szCs w:val="20"/>
          <w:lang w:val="it-IT"/>
        </w:rPr>
        <w:t>10 miliardi</w:t>
      </w:r>
      <w:r w:rsidR="00C743C2">
        <w:rPr>
          <w:rFonts w:cs="Arial"/>
          <w:szCs w:val="20"/>
          <w:lang w:val="it-IT"/>
        </w:rPr>
        <w:t>)</w:t>
      </w:r>
      <w:r w:rsidRPr="0050624F">
        <w:rPr>
          <w:rFonts w:cs="Arial"/>
          <w:szCs w:val="20"/>
          <w:lang w:val="it-IT"/>
        </w:rPr>
        <w:t xml:space="preserve"> le probabilità di avere un piano di de-risking raddoppiano nel caso di piani più grandi (</w:t>
      </w:r>
      <w:r w:rsidR="00C743C2">
        <w:rPr>
          <w:rFonts w:cs="Arial"/>
          <w:szCs w:val="20"/>
          <w:lang w:val="it-IT"/>
        </w:rPr>
        <w:t xml:space="preserve">AUM superiori </w:t>
      </w:r>
      <w:proofErr w:type="gramStart"/>
      <w:r w:rsidR="00C743C2">
        <w:rPr>
          <w:rFonts w:cs="Arial"/>
          <w:szCs w:val="20"/>
          <w:lang w:val="it-IT"/>
        </w:rPr>
        <w:t>a  USD</w:t>
      </w:r>
      <w:proofErr w:type="gramEnd"/>
      <w:r w:rsidR="008A37C5">
        <w:rPr>
          <w:rFonts w:cs="Arial"/>
          <w:szCs w:val="20"/>
          <w:lang w:val="it-IT"/>
        </w:rPr>
        <w:t xml:space="preserve"> </w:t>
      </w:r>
      <w:r w:rsidR="00C743C2">
        <w:rPr>
          <w:rFonts w:cs="Arial"/>
          <w:szCs w:val="20"/>
          <w:lang w:val="it-IT"/>
        </w:rPr>
        <w:t>25 miliardi)</w:t>
      </w:r>
      <w:r w:rsidRPr="0050624F">
        <w:rPr>
          <w:rFonts w:cs="Arial"/>
          <w:szCs w:val="20"/>
          <w:lang w:val="it-IT"/>
        </w:rPr>
        <w:t xml:space="preserve">.  </w:t>
      </w:r>
    </w:p>
    <w:p w:rsidR="00556587" w:rsidRPr="0050624F" w:rsidRDefault="00556587" w:rsidP="00556587">
      <w:pPr>
        <w:jc w:val="both"/>
        <w:rPr>
          <w:rFonts w:cs="Arial"/>
          <w:szCs w:val="20"/>
          <w:lang w:val="it-IT"/>
        </w:rPr>
      </w:pPr>
    </w:p>
    <w:p w:rsidR="00556587" w:rsidRPr="0050624F" w:rsidRDefault="00BD19A2" w:rsidP="00556587">
      <w:pPr>
        <w:jc w:val="both"/>
        <w:rPr>
          <w:rFonts w:cs="Arial"/>
          <w:szCs w:val="20"/>
          <w:lang w:val="it-IT"/>
        </w:rPr>
      </w:pPr>
      <w:r w:rsidRPr="0050624F">
        <w:rPr>
          <w:rFonts w:cs="Arial"/>
          <w:szCs w:val="20"/>
          <w:lang w:val="it-IT"/>
        </w:rPr>
        <w:t>Oltre la metà dei piani aziendali che stanno riducendo il rischio prevede l’immunizzazione</w:t>
      </w:r>
      <w:r w:rsidR="0050624F" w:rsidRPr="0050624F">
        <w:rPr>
          <w:rFonts w:cs="Arial"/>
          <w:szCs w:val="20"/>
          <w:lang w:val="it-IT"/>
        </w:rPr>
        <w:t xml:space="preserve"> </w:t>
      </w:r>
      <w:r w:rsidR="0050624F" w:rsidRPr="00B2780C">
        <w:rPr>
          <w:rFonts w:cs="Arial"/>
          <w:szCs w:val="20"/>
          <w:lang w:val="it-IT"/>
        </w:rPr>
        <w:t>in fase</w:t>
      </w:r>
      <w:r w:rsidR="00B2780C" w:rsidRPr="00B2780C">
        <w:rPr>
          <w:rFonts w:cs="Arial"/>
          <w:szCs w:val="20"/>
          <w:lang w:val="it-IT"/>
        </w:rPr>
        <w:t xml:space="preserve"> finale</w:t>
      </w:r>
      <w:r w:rsidRPr="00B2780C">
        <w:rPr>
          <w:rFonts w:cs="Arial"/>
          <w:szCs w:val="20"/>
          <w:lang w:val="it-IT"/>
        </w:rPr>
        <w:t>,</w:t>
      </w:r>
      <w:r w:rsidRPr="0050624F">
        <w:rPr>
          <w:rFonts w:cs="Arial"/>
          <w:szCs w:val="20"/>
          <w:lang w:val="it-IT"/>
        </w:rPr>
        <w:t xml:space="preserve"> ovvero </w:t>
      </w:r>
      <w:r w:rsidR="00B2780C">
        <w:rPr>
          <w:rFonts w:cs="Arial"/>
          <w:szCs w:val="20"/>
          <w:lang w:val="it-IT"/>
        </w:rPr>
        <w:t xml:space="preserve">quando </w:t>
      </w:r>
      <w:r w:rsidRPr="0050624F">
        <w:rPr>
          <w:rFonts w:cs="Arial"/>
          <w:szCs w:val="20"/>
          <w:lang w:val="it-IT"/>
        </w:rPr>
        <w:t xml:space="preserve">il piano arriverà a essere autosostenuto, e il run-off in bilancio. Le operazioni di trasferimento del rischio sono considerate una soluzione parziale. Molti CIO sottolineano che il potenziale interesse per operazioni di trasferimento del rischio supera di gran lunga l’attuale capacità di assunzione degli assicuratori, e che la stessa domanda di strumenti di copertura potrebbe superare l’offerta man mano che sempre più fondi entrano in modalità run-off.  </w:t>
      </w:r>
    </w:p>
    <w:p w:rsidR="00556587" w:rsidRPr="0050624F" w:rsidRDefault="00556587" w:rsidP="00556587">
      <w:pPr>
        <w:jc w:val="both"/>
        <w:rPr>
          <w:rFonts w:cs="Arial"/>
          <w:szCs w:val="20"/>
          <w:lang w:val="it-IT"/>
        </w:rPr>
      </w:pPr>
    </w:p>
    <w:p w:rsidR="00556587" w:rsidRPr="0050624F" w:rsidRDefault="00556587" w:rsidP="00556587">
      <w:pPr>
        <w:jc w:val="both"/>
        <w:rPr>
          <w:rFonts w:eastAsia="Arial" w:cs="Arial"/>
          <w:szCs w:val="20"/>
          <w:lang w:val="it-IT"/>
        </w:rPr>
      </w:pPr>
      <w:r w:rsidRPr="0050624F">
        <w:rPr>
          <w:rFonts w:cs="Arial"/>
          <w:szCs w:val="20"/>
          <w:lang w:val="it-IT"/>
        </w:rPr>
        <w:t xml:space="preserve">L’indagine ha inoltre rilevato che il 78% dei piani aziendali a livello globale è già indirizzato verso il coordinamento internazionale dei piani a prestazione definita. Di questi, due su cinque (39%) hanno impiegato strategie di investimento o gestori comuni, mentre un ulteriore 26% ha adottato un’asset </w:t>
      </w:r>
      <w:r w:rsidRPr="0050624F">
        <w:rPr>
          <w:rFonts w:cs="Arial"/>
          <w:szCs w:val="20"/>
          <w:lang w:val="it-IT"/>
        </w:rPr>
        <w:lastRenderedPageBreak/>
        <w:t>allocation strategica comune per alcuni o tutti i piani. Solo un decimo circa (11%) dei partecipanti ha affermato di avere effettivamente consolidato gli attivi e un quinto (22%) dei piani aziendali non prevede alcun coordinamento internazionale.</w:t>
      </w:r>
    </w:p>
    <w:p w:rsidR="00556587" w:rsidRPr="0050624F" w:rsidRDefault="00556587" w:rsidP="00556587">
      <w:pPr>
        <w:jc w:val="both"/>
        <w:rPr>
          <w:rFonts w:cs="Arial"/>
          <w:szCs w:val="20"/>
          <w:lang w:val="it-IT"/>
        </w:rPr>
      </w:pPr>
    </w:p>
    <w:p w:rsidR="00BD19A2" w:rsidRPr="0050624F" w:rsidRDefault="008759A0" w:rsidP="00BD19A2">
      <w:pPr>
        <w:jc w:val="both"/>
        <w:rPr>
          <w:rFonts w:eastAsia="Arial" w:cs="Arial"/>
          <w:szCs w:val="20"/>
          <w:lang w:val="it-IT"/>
        </w:rPr>
      </w:pPr>
      <w:r w:rsidRPr="0050624F">
        <w:rPr>
          <w:rFonts w:eastAsia="Arial" w:cs="Arial"/>
          <w:szCs w:val="20"/>
          <w:lang w:val="it-IT"/>
        </w:rPr>
        <w:t xml:space="preserve">Le pressioni di consolidamento sui piani non aziendali minori sono probabilmente destinate ad aumentare. Solo un piccolo numero di piani non aziendali ha completato il consolidamento, e meno di un quinto sta attualmente consolidando o intende farlo. Al contempo, i </w:t>
      </w:r>
      <w:r w:rsidR="00D05546">
        <w:rPr>
          <w:rFonts w:eastAsia="Arial" w:cs="Arial"/>
          <w:szCs w:val="20"/>
          <w:lang w:val="it-IT"/>
        </w:rPr>
        <w:t xml:space="preserve">fondi </w:t>
      </w:r>
      <w:r w:rsidRPr="0050624F">
        <w:rPr>
          <w:rFonts w:eastAsia="Arial" w:cs="Arial"/>
          <w:szCs w:val="20"/>
          <w:lang w:val="it-IT"/>
        </w:rPr>
        <w:t xml:space="preserve">maggiori </w:t>
      </w:r>
      <w:r w:rsidR="00D05546">
        <w:rPr>
          <w:rFonts w:eastAsia="Arial" w:cs="Arial"/>
          <w:szCs w:val="20"/>
          <w:lang w:val="it-IT"/>
        </w:rPr>
        <w:t>sono più impegnati</w:t>
      </w:r>
      <w:r w:rsidRPr="0050624F">
        <w:rPr>
          <w:rFonts w:eastAsia="Arial" w:cs="Arial"/>
          <w:szCs w:val="20"/>
          <w:lang w:val="it-IT"/>
        </w:rPr>
        <w:t xml:space="preserve">, rispetto ai minori, </w:t>
      </w:r>
      <w:r w:rsidR="00D05546">
        <w:rPr>
          <w:rFonts w:eastAsia="Arial" w:cs="Arial"/>
          <w:szCs w:val="20"/>
          <w:lang w:val="it-IT"/>
        </w:rPr>
        <w:t>nel</w:t>
      </w:r>
      <w:r w:rsidRPr="0050624F">
        <w:rPr>
          <w:rFonts w:eastAsia="Arial" w:cs="Arial"/>
          <w:szCs w:val="20"/>
          <w:lang w:val="it-IT"/>
        </w:rPr>
        <w:t xml:space="preserve"> rafforzare la propria organizzazione e aggiungere le risorse necessarie in un clima più difficile. Le probabilità di avere rafforzato la governance attraverso la revisione dei ruoli del board e del personale sono più elevate per i piani maggiori (</w:t>
      </w:r>
      <w:r w:rsidR="008A37C5">
        <w:rPr>
          <w:rFonts w:eastAsia="Arial" w:cs="Arial"/>
          <w:szCs w:val="20"/>
          <w:lang w:val="it-IT"/>
        </w:rPr>
        <w:t>AUM oltre USD 25 miliardi)</w:t>
      </w:r>
      <w:r w:rsidRPr="0050624F">
        <w:rPr>
          <w:rFonts w:eastAsia="Arial" w:cs="Arial"/>
          <w:szCs w:val="20"/>
          <w:lang w:val="it-IT"/>
        </w:rPr>
        <w:t xml:space="preserve">. Particolarmente interessante è la differenza nell’andamento del personale, con quasi tre quarti dei grandi piani che dichiarano di avere aumentato il numero dei collaboratori, un trend che interessa meno della metà dei piani più piccoli (con AUM tra </w:t>
      </w:r>
      <w:r w:rsidR="008A37C5">
        <w:rPr>
          <w:rFonts w:eastAsia="Arial" w:cs="Arial"/>
          <w:szCs w:val="20"/>
          <w:lang w:val="it-IT"/>
        </w:rPr>
        <w:t xml:space="preserve">USD </w:t>
      </w:r>
      <w:r w:rsidRPr="0050624F">
        <w:rPr>
          <w:rFonts w:eastAsia="Arial" w:cs="Arial"/>
          <w:szCs w:val="20"/>
          <w:lang w:val="it-IT"/>
        </w:rPr>
        <w:t>1 miliardo e 10 miliardi).</w:t>
      </w:r>
    </w:p>
    <w:p w:rsidR="00BD19A2" w:rsidRPr="0050624F" w:rsidRDefault="00BD19A2" w:rsidP="008759A0">
      <w:pPr>
        <w:jc w:val="both"/>
        <w:rPr>
          <w:rFonts w:eastAsia="Arial" w:cs="Arial"/>
          <w:szCs w:val="20"/>
          <w:lang w:val="it-IT"/>
        </w:rPr>
      </w:pPr>
    </w:p>
    <w:p w:rsidR="008759A0" w:rsidRPr="0050624F" w:rsidRDefault="00815B44" w:rsidP="008759A0">
      <w:pPr>
        <w:jc w:val="both"/>
        <w:rPr>
          <w:rFonts w:eastAsia="Arial" w:cs="Arial"/>
          <w:szCs w:val="20"/>
          <w:lang w:val="it-IT"/>
        </w:rPr>
      </w:pPr>
      <w:r w:rsidRPr="0050624F">
        <w:rPr>
          <w:rFonts w:eastAsia="Arial" w:cs="Arial"/>
          <w:szCs w:val="20"/>
          <w:lang w:val="it-IT"/>
        </w:rPr>
        <w:t xml:space="preserve">Attualmente i consolidamenti di alto profilo, per esempio quelli nel Regno Unito, rappresentano più l’eccezione che la regola, ma </w:t>
      </w:r>
      <w:r w:rsidR="00D05546">
        <w:rPr>
          <w:rFonts w:eastAsia="Arial" w:cs="Arial"/>
          <w:szCs w:val="20"/>
          <w:lang w:val="it-IT"/>
        </w:rPr>
        <w:t xml:space="preserve">lasciano </w:t>
      </w:r>
      <w:r w:rsidRPr="0050624F">
        <w:rPr>
          <w:rFonts w:eastAsia="Arial" w:cs="Arial"/>
          <w:szCs w:val="20"/>
          <w:lang w:val="it-IT"/>
        </w:rPr>
        <w:t>comunque prevedere un’ulteriore attività in questa direzione.</w:t>
      </w:r>
    </w:p>
    <w:p w:rsidR="00BD19A2" w:rsidRPr="0050624F" w:rsidRDefault="00BD19A2" w:rsidP="008759A0">
      <w:pPr>
        <w:jc w:val="both"/>
        <w:rPr>
          <w:rFonts w:eastAsia="Arial" w:cs="Arial"/>
          <w:szCs w:val="20"/>
          <w:lang w:val="it-IT"/>
        </w:rPr>
      </w:pPr>
    </w:p>
    <w:p w:rsidR="008C5FB0" w:rsidRPr="0050624F" w:rsidRDefault="008C5FB0" w:rsidP="008C5FB0">
      <w:pPr>
        <w:jc w:val="both"/>
        <w:rPr>
          <w:rFonts w:cs="Arial"/>
          <w:b/>
          <w:szCs w:val="20"/>
          <w:lang w:val="it-IT"/>
        </w:rPr>
      </w:pPr>
      <w:r w:rsidRPr="0050624F">
        <w:rPr>
          <w:rFonts w:cs="Arial"/>
          <w:b/>
          <w:bCs/>
          <w:szCs w:val="20"/>
          <w:lang w:val="it-IT"/>
        </w:rPr>
        <w:t>Verso l’efficienza degli investimenti e una maggiore esposizione ai mercati privati</w:t>
      </w:r>
    </w:p>
    <w:p w:rsidR="008C5FB0" w:rsidRPr="0050624F" w:rsidRDefault="008C5FB0" w:rsidP="008C5FB0">
      <w:pPr>
        <w:jc w:val="both"/>
        <w:rPr>
          <w:rFonts w:cs="Arial"/>
          <w:szCs w:val="20"/>
          <w:lang w:val="it-IT"/>
        </w:rPr>
      </w:pPr>
    </w:p>
    <w:p w:rsidR="00FD7C69" w:rsidRPr="0050624F" w:rsidRDefault="00FD7C69" w:rsidP="00FD7C69">
      <w:pPr>
        <w:jc w:val="both"/>
        <w:rPr>
          <w:rFonts w:cs="Arial"/>
          <w:szCs w:val="20"/>
          <w:lang w:val="it-IT"/>
        </w:rPr>
      </w:pPr>
      <w:r w:rsidRPr="0050624F">
        <w:rPr>
          <w:rFonts w:cs="Arial"/>
          <w:szCs w:val="20"/>
          <w:lang w:val="it-IT"/>
        </w:rPr>
        <w:t xml:space="preserve">I piani pensionistici sono grandi utenti di strategie basate su indici. La maggioranza degli intervistati ha dichiarato che almeno il 40% dei propri investimenti azionari è gestito tramite fondi indicizzati. Oltre un quarto gestisce almeno il 40% dei propri investimenti obbligazionari in mandati su indici e quasi tre quinti dei partecipanti prevedono di aumentare gli investimenti azionari od obbligazionari indicizzati. </w:t>
      </w:r>
    </w:p>
    <w:p w:rsidR="00FD7C69" w:rsidRPr="0050624F" w:rsidRDefault="00FD7C69" w:rsidP="00FD7C69">
      <w:pPr>
        <w:jc w:val="both"/>
        <w:rPr>
          <w:rFonts w:cs="Arial"/>
          <w:szCs w:val="20"/>
          <w:lang w:val="it-IT"/>
        </w:rPr>
      </w:pPr>
    </w:p>
    <w:p w:rsidR="008C5FB0" w:rsidRPr="0050624F" w:rsidRDefault="008C5FB0" w:rsidP="008C5FB0">
      <w:pPr>
        <w:jc w:val="both"/>
        <w:rPr>
          <w:rFonts w:cs="Arial"/>
          <w:szCs w:val="20"/>
          <w:lang w:val="it-IT"/>
        </w:rPr>
      </w:pPr>
      <w:r w:rsidRPr="0050624F">
        <w:rPr>
          <w:rFonts w:cs="Arial"/>
          <w:szCs w:val="20"/>
          <w:lang w:val="it-IT"/>
        </w:rPr>
        <w:t xml:space="preserve">Quasi tre quarti (74%) degli intervistati usano strategie di investimento basate su fattori, una percentuale più elevata rispetto al 61% che dichiara di utilizzare i fattori per comprendere meglio il profilo rischio-rendimento del portafoglio – l’uso dei fattori per questo scopo è risultato al primo posto in un’indagine del 2016 di BlackRock-EIU. La maggior parte dei partecipanti, sia aziendali che non, prevede di aumentare gli investimenti in strategie basate su fattori, con il maggiore interesse espresso dai piani non aziendali. Sia tra i piani aziendali che tra quelli non aziendali, l’utilizzo di fattori è più cospicuo per i piani maggiori, mentre i piani di medie dimensioni sono i più propensi ad aumentare queste allocazioni.   </w:t>
      </w:r>
    </w:p>
    <w:p w:rsidR="008C5FB0" w:rsidRPr="0050624F" w:rsidRDefault="008C5FB0" w:rsidP="008C5FB0">
      <w:pPr>
        <w:jc w:val="both"/>
        <w:rPr>
          <w:rFonts w:cs="Arial"/>
          <w:szCs w:val="20"/>
          <w:lang w:val="it-IT"/>
        </w:rPr>
      </w:pPr>
    </w:p>
    <w:p w:rsidR="008C5FB0" w:rsidRPr="0050624F" w:rsidRDefault="008C5FB0" w:rsidP="008C5FB0">
      <w:pPr>
        <w:jc w:val="both"/>
        <w:rPr>
          <w:rFonts w:cs="Arial"/>
          <w:szCs w:val="20"/>
          <w:lang w:val="it-IT"/>
        </w:rPr>
      </w:pPr>
      <w:r w:rsidRPr="0050624F">
        <w:rPr>
          <w:rFonts w:cs="Arial"/>
          <w:szCs w:val="20"/>
          <w:lang w:val="it-IT"/>
        </w:rPr>
        <w:t>Prosegue Edwin Conway: “Entrambe le tipologie di schemi pensionistici continuano nella ricerca di alpha, ma con un approccio più selettivo e una maggiore attenzione alla strategie che offrono una remunerazione</w:t>
      </w:r>
      <w:r w:rsidR="0050624F" w:rsidRPr="0050624F">
        <w:rPr>
          <w:rFonts w:cs="Arial"/>
          <w:szCs w:val="20"/>
          <w:lang w:val="it-IT"/>
        </w:rPr>
        <w:t xml:space="preserve"> superiore</w:t>
      </w:r>
      <w:r w:rsidRPr="0050624F">
        <w:rPr>
          <w:rFonts w:cs="Arial"/>
          <w:szCs w:val="20"/>
          <w:lang w:val="it-IT"/>
        </w:rPr>
        <w:t xml:space="preserve">. Non sorprende il numero di piani pensionistici che investono in strategie basate su fattori, data la varietà disponibile, ma prevediamo un’ulteriore crescita dei piani che </w:t>
      </w:r>
      <w:r w:rsidR="008A37C5">
        <w:rPr>
          <w:rFonts w:cs="Arial"/>
          <w:szCs w:val="20"/>
          <w:lang w:val="it-IT"/>
        </w:rPr>
        <w:t xml:space="preserve">li </w:t>
      </w:r>
      <w:r w:rsidRPr="0050624F">
        <w:rPr>
          <w:rFonts w:cs="Arial"/>
          <w:szCs w:val="20"/>
          <w:lang w:val="it-IT"/>
        </w:rPr>
        <w:t>utilizzano per definire le proprie decisioni di asset allocation. I fattori possono essere uno strumento importante per i fondi pensione, in quanto consentono di comprendere meglio i livelli di rischio e rendimento. Questa capacità di analisi offerta dai fattori è un aiuto inestimabile per stabilire quali strategie mirano efficacemente a realizzare gli obiettivi del piano, e quali invece potrebbero essere rimpiazzate da strategie meno costose e con una maggiore capacità di diversificazione</w:t>
      </w:r>
      <w:r w:rsidR="008A37C5">
        <w:rPr>
          <w:rFonts w:cs="Arial"/>
          <w:szCs w:val="20"/>
          <w:lang w:val="it-IT"/>
        </w:rPr>
        <w:t>”</w:t>
      </w:r>
      <w:r w:rsidRPr="0050624F">
        <w:rPr>
          <w:rFonts w:cs="Arial"/>
          <w:szCs w:val="20"/>
          <w:lang w:val="it-IT"/>
        </w:rPr>
        <w:t xml:space="preserve">. </w:t>
      </w:r>
    </w:p>
    <w:p w:rsidR="00BD19A2" w:rsidRPr="0050624F" w:rsidRDefault="00BD19A2" w:rsidP="008C5FB0">
      <w:pPr>
        <w:jc w:val="both"/>
        <w:rPr>
          <w:rFonts w:cs="Arial"/>
          <w:szCs w:val="20"/>
          <w:lang w:val="it-IT"/>
        </w:rPr>
      </w:pPr>
    </w:p>
    <w:p w:rsidR="001951A7" w:rsidRPr="0050624F" w:rsidRDefault="00A67DEE" w:rsidP="00774740">
      <w:pPr>
        <w:autoSpaceDE w:val="0"/>
        <w:autoSpaceDN w:val="0"/>
        <w:adjustRightInd w:val="0"/>
        <w:jc w:val="both"/>
        <w:rPr>
          <w:rFonts w:cs="Arial"/>
          <w:szCs w:val="20"/>
          <w:lang w:val="it-IT"/>
        </w:rPr>
      </w:pPr>
      <w:r w:rsidRPr="0050624F">
        <w:rPr>
          <w:rFonts w:cs="Arial"/>
          <w:szCs w:val="20"/>
          <w:lang w:val="it-IT"/>
        </w:rPr>
        <w:t xml:space="preserve">L’indagine di </w:t>
      </w:r>
      <w:proofErr w:type="spellStart"/>
      <w:r w:rsidRPr="0050624F">
        <w:rPr>
          <w:rFonts w:cs="Arial"/>
          <w:szCs w:val="20"/>
          <w:lang w:val="it-IT"/>
        </w:rPr>
        <w:t>BlackRock</w:t>
      </w:r>
      <w:proofErr w:type="spellEnd"/>
      <w:r w:rsidRPr="0050624F">
        <w:rPr>
          <w:rFonts w:cs="Arial"/>
          <w:szCs w:val="20"/>
          <w:lang w:val="it-IT"/>
        </w:rPr>
        <w:t xml:space="preserve"> rivela</w:t>
      </w:r>
      <w:r w:rsidR="00B342BD">
        <w:rPr>
          <w:rFonts w:cs="Arial"/>
          <w:szCs w:val="20"/>
          <w:lang w:val="it-IT"/>
        </w:rPr>
        <w:t>,</w:t>
      </w:r>
      <w:r w:rsidRPr="0050624F">
        <w:rPr>
          <w:rFonts w:cs="Arial"/>
          <w:szCs w:val="20"/>
          <w:lang w:val="it-IT"/>
        </w:rPr>
        <w:t xml:space="preserve"> infine</w:t>
      </w:r>
      <w:r w:rsidR="00B342BD">
        <w:rPr>
          <w:rFonts w:cs="Arial"/>
          <w:szCs w:val="20"/>
          <w:lang w:val="it-IT"/>
        </w:rPr>
        <w:t>,</w:t>
      </w:r>
      <w:r w:rsidRPr="0050624F">
        <w:rPr>
          <w:rFonts w:cs="Arial"/>
          <w:szCs w:val="20"/>
          <w:lang w:val="it-IT"/>
        </w:rPr>
        <w:t xml:space="preserve"> il ruolo crescente degli asset privati nei portafogli dei piani pensionistici pubblici e di altri piani non aziendali, in considerazione dei loro orizzonti di investimento a lungo termine. </w:t>
      </w:r>
      <w:r w:rsidR="00D05546">
        <w:rPr>
          <w:rFonts w:cs="Arial"/>
          <w:szCs w:val="20"/>
          <w:lang w:val="it-IT"/>
        </w:rPr>
        <w:t>Prosegue i</w:t>
      </w:r>
      <w:r w:rsidRPr="0050624F">
        <w:rPr>
          <w:rFonts w:cs="Arial"/>
          <w:szCs w:val="20"/>
          <w:lang w:val="it-IT"/>
        </w:rPr>
        <w:t xml:space="preserve">l trend di aumento delle allocazioni nei settori private equity e credito, real estate e infrastrutture osservato negli ultimi cinque anni </w:t>
      </w:r>
      <w:r w:rsidR="00D05546">
        <w:rPr>
          <w:rFonts w:cs="Arial"/>
          <w:szCs w:val="20"/>
          <w:lang w:val="it-IT"/>
        </w:rPr>
        <w:t>e</w:t>
      </w:r>
      <w:r w:rsidRPr="0050624F">
        <w:rPr>
          <w:rFonts w:cs="Arial"/>
          <w:szCs w:val="20"/>
          <w:lang w:val="it-IT"/>
        </w:rPr>
        <w:t xml:space="preserve"> sostenuto dalla ricerca di diversificazione e di potenziali premi per i rischi di illiquidità e complessità. L’indagine dimostra che molti piani non aziendali si sono già attivati per facilitare questi investimenti: il 70% ha adeguato le linee guida per inserire una nuova asset class privata e il 65% ha dedicato un maggior numero di professionisti degli investimenti agli asset privati. </w:t>
      </w:r>
    </w:p>
    <w:p w:rsidR="00B71AD8" w:rsidRPr="0050624F" w:rsidRDefault="00B71AD8" w:rsidP="00774740">
      <w:pPr>
        <w:jc w:val="both"/>
        <w:rPr>
          <w:rFonts w:eastAsia="Arial" w:cs="Arial"/>
          <w:szCs w:val="20"/>
          <w:lang w:val="it-IT"/>
        </w:rPr>
      </w:pPr>
    </w:p>
    <w:p w:rsidR="00BD19A2" w:rsidRPr="0050624F" w:rsidRDefault="00BD19A2" w:rsidP="00774740">
      <w:pPr>
        <w:spacing w:after="200" w:line="276" w:lineRule="auto"/>
        <w:jc w:val="both"/>
        <w:rPr>
          <w:rFonts w:cs="Arial"/>
          <w:b/>
          <w:bCs/>
          <w:szCs w:val="20"/>
          <w:lang w:val="it-IT"/>
        </w:rPr>
      </w:pPr>
      <w:r w:rsidRPr="0050624F">
        <w:rPr>
          <w:rFonts w:cs="Arial"/>
          <w:b/>
          <w:bCs/>
          <w:szCs w:val="20"/>
          <w:lang w:val="it-IT"/>
        </w:rPr>
        <w:br w:type="page"/>
      </w:r>
    </w:p>
    <w:p w:rsidR="00731429" w:rsidRPr="0050624F" w:rsidRDefault="00731429" w:rsidP="00D54621">
      <w:pPr>
        <w:jc w:val="both"/>
        <w:rPr>
          <w:rFonts w:cs="Arial"/>
          <w:szCs w:val="20"/>
          <w:lang w:val="it-IT"/>
        </w:rPr>
      </w:pPr>
      <w:r w:rsidRPr="0050624F">
        <w:rPr>
          <w:rFonts w:cs="Arial"/>
          <w:b/>
          <w:bCs/>
          <w:szCs w:val="20"/>
          <w:lang w:val="it-IT"/>
        </w:rPr>
        <w:lastRenderedPageBreak/>
        <w:t xml:space="preserve">Contatti con i media: </w:t>
      </w:r>
    </w:p>
    <w:p w:rsidR="00D215EF" w:rsidRPr="009308A2" w:rsidRDefault="00D215EF" w:rsidP="00D215EF">
      <w:pPr>
        <w:tabs>
          <w:tab w:val="left" w:pos="5670"/>
        </w:tabs>
        <w:autoSpaceDE w:val="0"/>
        <w:autoSpaceDN w:val="0"/>
        <w:adjustRightInd w:val="0"/>
        <w:jc w:val="both"/>
        <w:rPr>
          <w:b/>
          <w:szCs w:val="20"/>
          <w:lang w:val="it-IT"/>
        </w:rPr>
      </w:pPr>
    </w:p>
    <w:p w:rsidR="00D215EF" w:rsidRPr="009308A2" w:rsidRDefault="00D215EF" w:rsidP="00D215EF">
      <w:pPr>
        <w:tabs>
          <w:tab w:val="left" w:pos="5670"/>
        </w:tabs>
        <w:autoSpaceDE w:val="0"/>
        <w:autoSpaceDN w:val="0"/>
        <w:adjustRightInd w:val="0"/>
        <w:jc w:val="both"/>
        <w:rPr>
          <w:szCs w:val="20"/>
          <w:lang w:val="it-IT"/>
        </w:rPr>
      </w:pPr>
      <w:r w:rsidRPr="009308A2">
        <w:rPr>
          <w:b/>
          <w:szCs w:val="20"/>
          <w:lang w:val="it-IT"/>
        </w:rPr>
        <w:t>Barabino&amp;Partners</w:t>
      </w:r>
    </w:p>
    <w:p w:rsidR="00D215EF" w:rsidRPr="009308A2" w:rsidRDefault="00D215EF" w:rsidP="00D215EF">
      <w:pPr>
        <w:tabs>
          <w:tab w:val="left" w:pos="5670"/>
        </w:tabs>
        <w:autoSpaceDE w:val="0"/>
        <w:autoSpaceDN w:val="0"/>
        <w:adjustRightInd w:val="0"/>
        <w:jc w:val="both"/>
        <w:rPr>
          <w:szCs w:val="20"/>
          <w:lang w:val="it-IT"/>
        </w:rPr>
      </w:pPr>
      <w:r w:rsidRPr="009308A2">
        <w:rPr>
          <w:b/>
          <w:szCs w:val="20"/>
          <w:lang w:val="it-IT"/>
        </w:rPr>
        <w:t xml:space="preserve">Media Relations </w:t>
      </w:r>
      <w:r w:rsidRPr="009308A2">
        <w:rPr>
          <w:b/>
          <w:szCs w:val="20"/>
          <w:lang w:val="it-IT"/>
        </w:rPr>
        <w:tab/>
        <w:t>BlackRock</w:t>
      </w:r>
    </w:p>
    <w:p w:rsidR="00D215EF" w:rsidRPr="009308A2" w:rsidRDefault="00D215EF" w:rsidP="00D215EF">
      <w:pPr>
        <w:tabs>
          <w:tab w:val="left" w:pos="5670"/>
        </w:tabs>
        <w:autoSpaceDE w:val="0"/>
        <w:autoSpaceDN w:val="0"/>
        <w:adjustRightInd w:val="0"/>
        <w:jc w:val="both"/>
        <w:rPr>
          <w:szCs w:val="20"/>
          <w:lang w:val="it-IT"/>
        </w:rPr>
      </w:pPr>
      <w:r w:rsidRPr="009308A2">
        <w:rPr>
          <w:szCs w:val="20"/>
          <w:lang w:val="it-IT"/>
        </w:rPr>
        <w:t>Sabrina Ragone</w:t>
      </w:r>
      <w:r w:rsidRPr="009308A2">
        <w:rPr>
          <w:szCs w:val="20"/>
          <w:lang w:val="it-IT"/>
        </w:rPr>
        <w:tab/>
        <w:t>Costanza Bajlo</w:t>
      </w:r>
      <w:r w:rsidRPr="009308A2">
        <w:rPr>
          <w:szCs w:val="20"/>
          <w:lang w:val="it-IT"/>
        </w:rPr>
        <w:tab/>
      </w:r>
    </w:p>
    <w:p w:rsidR="00D215EF" w:rsidRPr="009308A2" w:rsidRDefault="00D215EF" w:rsidP="00D215EF">
      <w:pPr>
        <w:tabs>
          <w:tab w:val="left" w:pos="5670"/>
        </w:tabs>
        <w:autoSpaceDE w:val="0"/>
        <w:autoSpaceDN w:val="0"/>
        <w:adjustRightInd w:val="0"/>
        <w:jc w:val="both"/>
        <w:rPr>
          <w:szCs w:val="20"/>
          <w:lang w:val="es-ES_tradnl"/>
        </w:rPr>
      </w:pPr>
      <w:r w:rsidRPr="009308A2">
        <w:rPr>
          <w:szCs w:val="20"/>
          <w:lang w:val="es-ES_tradnl"/>
        </w:rPr>
        <w:t>Tel 02-72023535</w:t>
      </w:r>
      <w:r w:rsidRPr="009308A2">
        <w:rPr>
          <w:szCs w:val="20"/>
          <w:lang w:val="es-ES_tradnl"/>
        </w:rPr>
        <w:tab/>
        <w:t>Tel 02-91597048</w:t>
      </w:r>
    </w:p>
    <w:p w:rsidR="00D215EF" w:rsidRPr="009308A2" w:rsidRDefault="00E47CF8" w:rsidP="00D215EF">
      <w:pPr>
        <w:tabs>
          <w:tab w:val="left" w:pos="5670"/>
        </w:tabs>
        <w:autoSpaceDE w:val="0"/>
        <w:autoSpaceDN w:val="0"/>
        <w:adjustRightInd w:val="0"/>
        <w:jc w:val="both"/>
        <w:rPr>
          <w:szCs w:val="20"/>
          <w:lang w:val="es-ES_tradnl"/>
        </w:rPr>
      </w:pPr>
      <w:hyperlink r:id="rId8" w:history="1">
        <w:r w:rsidR="00D215EF" w:rsidRPr="009308A2">
          <w:rPr>
            <w:rStyle w:val="Collegamentoipertestuale"/>
            <w:lang w:val="es-ES_tradnl"/>
          </w:rPr>
          <w:t>s.ragone@barabino.it</w:t>
        </w:r>
      </w:hyperlink>
      <w:r w:rsidR="00D215EF" w:rsidRPr="009308A2">
        <w:rPr>
          <w:szCs w:val="20"/>
          <w:lang w:val="es-ES_tradnl"/>
        </w:rPr>
        <w:tab/>
        <w:t>costanza.bajlo@blackrock.com</w:t>
      </w:r>
    </w:p>
    <w:p w:rsidR="00731429" w:rsidRPr="009308A2" w:rsidRDefault="00731429" w:rsidP="00D54621">
      <w:pPr>
        <w:autoSpaceDE w:val="0"/>
        <w:autoSpaceDN w:val="0"/>
        <w:jc w:val="both"/>
        <w:rPr>
          <w:rFonts w:cs="Arial"/>
          <w:szCs w:val="20"/>
          <w:lang w:val="es-ES_tradnl"/>
        </w:rPr>
      </w:pPr>
    </w:p>
    <w:p w:rsidR="003B4D3E" w:rsidRPr="0050624F" w:rsidRDefault="003B4D3E" w:rsidP="00D54621">
      <w:pPr>
        <w:autoSpaceDE w:val="0"/>
        <w:autoSpaceDN w:val="0"/>
        <w:jc w:val="both"/>
        <w:rPr>
          <w:rFonts w:cs="Arial"/>
          <w:b/>
          <w:bCs/>
          <w:szCs w:val="20"/>
          <w:lang w:val="it-IT"/>
        </w:rPr>
      </w:pPr>
      <w:r w:rsidRPr="0050624F">
        <w:rPr>
          <w:rFonts w:cs="Arial"/>
          <w:b/>
          <w:bCs/>
          <w:szCs w:val="20"/>
          <w:lang w:val="it-IT"/>
        </w:rPr>
        <w:t xml:space="preserve">L’indagine </w:t>
      </w:r>
    </w:p>
    <w:p w:rsidR="003B4D3E" w:rsidRPr="0050624F" w:rsidRDefault="003B4D3E" w:rsidP="005D1E82">
      <w:pPr>
        <w:autoSpaceDE w:val="0"/>
        <w:autoSpaceDN w:val="0"/>
        <w:adjustRightInd w:val="0"/>
        <w:jc w:val="both"/>
        <w:rPr>
          <w:rFonts w:cs="Arial"/>
          <w:color w:val="000000"/>
          <w:szCs w:val="22"/>
          <w:lang w:val="it-IT"/>
        </w:rPr>
      </w:pPr>
      <w:r w:rsidRPr="0050624F">
        <w:rPr>
          <w:rFonts w:cs="Arial"/>
          <w:color w:val="000000"/>
          <w:szCs w:val="22"/>
          <w:lang w:val="it-IT"/>
        </w:rPr>
        <w:t>Nel mese di ottobre 2017 l’EIU ha svolto per conto di BlackRock un’indagine che ha coinvolto 300 senior executive di piani pensionistici aziendali e non aziendali di varie dimensioni.</w:t>
      </w:r>
    </w:p>
    <w:p w:rsidR="003B4D3E" w:rsidRPr="0050624F" w:rsidRDefault="003B4D3E" w:rsidP="005D1E82">
      <w:pPr>
        <w:autoSpaceDE w:val="0"/>
        <w:autoSpaceDN w:val="0"/>
        <w:adjustRightInd w:val="0"/>
        <w:jc w:val="both"/>
        <w:rPr>
          <w:rFonts w:cs="Arial"/>
          <w:color w:val="000000"/>
          <w:szCs w:val="22"/>
          <w:lang w:val="it-IT"/>
        </w:rPr>
      </w:pPr>
    </w:p>
    <w:p w:rsidR="003B4D3E" w:rsidRPr="0050624F" w:rsidRDefault="003B4D3E" w:rsidP="005D1E82">
      <w:pPr>
        <w:pStyle w:val="Paragrafoelenco"/>
        <w:numPr>
          <w:ilvl w:val="0"/>
          <w:numId w:val="3"/>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 xml:space="preserve">Il 19% dei piani ha un patrimonio </w:t>
      </w:r>
      <w:r w:rsidR="008A37C5">
        <w:rPr>
          <w:rFonts w:ascii="Arial" w:hAnsi="Arial" w:cs="Arial"/>
          <w:color w:val="000000"/>
          <w:sz w:val="20"/>
          <w:szCs w:val="22"/>
          <w:lang w:val="it-IT"/>
        </w:rPr>
        <w:t xml:space="preserve">superiore </w:t>
      </w:r>
      <w:r w:rsidRPr="0050624F">
        <w:rPr>
          <w:rFonts w:ascii="Arial" w:hAnsi="Arial" w:cs="Arial"/>
          <w:color w:val="000000"/>
          <w:sz w:val="20"/>
          <w:szCs w:val="22"/>
          <w:lang w:val="it-IT"/>
        </w:rPr>
        <w:t>di $25 miliardi</w:t>
      </w:r>
    </w:p>
    <w:p w:rsidR="003B4D3E" w:rsidRPr="0050624F" w:rsidRDefault="003B4D3E" w:rsidP="005D1E82">
      <w:pPr>
        <w:pStyle w:val="Paragrafoelenco"/>
        <w:numPr>
          <w:ilvl w:val="0"/>
          <w:numId w:val="3"/>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il 48% ha un patrimonio compreso tra $10 miliardi e $25 miliardi</w:t>
      </w:r>
    </w:p>
    <w:p w:rsidR="003B4D3E" w:rsidRPr="0050624F" w:rsidRDefault="003B4D3E" w:rsidP="005D1E82">
      <w:pPr>
        <w:pStyle w:val="Paragrafoelenco"/>
        <w:numPr>
          <w:ilvl w:val="0"/>
          <w:numId w:val="3"/>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il 33% ha un patrimonio compreso tra $1 miliardo e $10 miliardi.</w:t>
      </w:r>
    </w:p>
    <w:p w:rsidR="003B4D3E" w:rsidRPr="0050624F" w:rsidRDefault="003B4D3E" w:rsidP="005D1E82">
      <w:pPr>
        <w:autoSpaceDE w:val="0"/>
        <w:autoSpaceDN w:val="0"/>
        <w:adjustRightInd w:val="0"/>
        <w:jc w:val="both"/>
        <w:rPr>
          <w:rFonts w:cs="Arial"/>
          <w:color w:val="000000"/>
          <w:szCs w:val="22"/>
          <w:lang w:val="it-IT"/>
        </w:rPr>
      </w:pPr>
    </w:p>
    <w:p w:rsidR="003B4D3E" w:rsidRPr="0050624F" w:rsidRDefault="003B4D3E" w:rsidP="005D1E82">
      <w:pPr>
        <w:autoSpaceDE w:val="0"/>
        <w:autoSpaceDN w:val="0"/>
        <w:adjustRightInd w:val="0"/>
        <w:jc w:val="both"/>
        <w:rPr>
          <w:rFonts w:cs="Arial"/>
          <w:color w:val="000000"/>
          <w:szCs w:val="22"/>
          <w:lang w:val="it-IT"/>
        </w:rPr>
      </w:pPr>
      <w:r w:rsidRPr="0050624F">
        <w:rPr>
          <w:rFonts w:cs="Arial"/>
          <w:color w:val="000000"/>
          <w:szCs w:val="22"/>
          <w:lang w:val="it-IT"/>
        </w:rPr>
        <w:t>Per tipologia di piano, la classificazione è la seguente:</w:t>
      </w:r>
    </w:p>
    <w:p w:rsidR="003B4D3E" w:rsidRPr="0050624F" w:rsidRDefault="003B4D3E" w:rsidP="005D1E82">
      <w:pPr>
        <w:autoSpaceDE w:val="0"/>
        <w:autoSpaceDN w:val="0"/>
        <w:adjustRightInd w:val="0"/>
        <w:jc w:val="both"/>
        <w:rPr>
          <w:rFonts w:cs="Arial"/>
          <w:color w:val="000000"/>
          <w:szCs w:val="22"/>
          <w:lang w:val="it-IT"/>
        </w:rPr>
      </w:pPr>
    </w:p>
    <w:p w:rsidR="003B4D3E" w:rsidRPr="0050624F" w:rsidRDefault="003B4D3E" w:rsidP="005D1E82">
      <w:pPr>
        <w:pStyle w:val="Paragrafoelenco"/>
        <w:numPr>
          <w:ilvl w:val="0"/>
          <w:numId w:val="4"/>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50% fondi pensione aziendali a prestazione definita</w:t>
      </w:r>
    </w:p>
    <w:p w:rsidR="003B4D3E" w:rsidRPr="0050624F" w:rsidRDefault="003B4D3E" w:rsidP="005D1E82">
      <w:pPr>
        <w:pStyle w:val="Paragrafoelenco"/>
        <w:numPr>
          <w:ilvl w:val="0"/>
          <w:numId w:val="4"/>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34% fondi pensione del settore pubblico a prestazione definita (per es. governativi, statali o municipali)</w:t>
      </w:r>
    </w:p>
    <w:p w:rsidR="003B4D3E" w:rsidRPr="0050624F" w:rsidRDefault="003B4D3E" w:rsidP="005D1E82">
      <w:pPr>
        <w:pStyle w:val="Paragrafoelenco"/>
        <w:numPr>
          <w:ilvl w:val="0"/>
          <w:numId w:val="4"/>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8% fondi pensione professionali/di settore/occupazionali a prestazione definita</w:t>
      </w:r>
    </w:p>
    <w:p w:rsidR="003B4D3E" w:rsidRPr="0050624F" w:rsidRDefault="003B4D3E" w:rsidP="005D1E82">
      <w:pPr>
        <w:pStyle w:val="Paragrafoelenco"/>
        <w:numPr>
          <w:ilvl w:val="0"/>
          <w:numId w:val="4"/>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 xml:space="preserve">5% fondi non-profit </w:t>
      </w:r>
      <w:r w:rsidR="002A62CD">
        <w:rPr>
          <w:rFonts w:ascii="Arial" w:hAnsi="Arial" w:cs="Arial"/>
          <w:color w:val="000000"/>
          <w:sz w:val="20"/>
          <w:szCs w:val="22"/>
          <w:lang w:val="it-IT"/>
        </w:rPr>
        <w:t>pensione (Australia)</w:t>
      </w:r>
      <w:r w:rsidRPr="0050624F">
        <w:rPr>
          <w:rFonts w:ascii="Arial" w:hAnsi="Arial" w:cs="Arial"/>
          <w:color w:val="000000"/>
          <w:sz w:val="20"/>
          <w:szCs w:val="22"/>
          <w:lang w:val="it-IT"/>
        </w:rPr>
        <w:t xml:space="preserve"> a prestazione definita</w:t>
      </w:r>
    </w:p>
    <w:p w:rsidR="003B4D3E" w:rsidRPr="0050624F" w:rsidRDefault="003B4D3E" w:rsidP="005D1E82">
      <w:pPr>
        <w:pStyle w:val="Paragrafoelenco"/>
        <w:numPr>
          <w:ilvl w:val="0"/>
          <w:numId w:val="4"/>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 xml:space="preserve">4% fondi for-proft </w:t>
      </w:r>
      <w:r w:rsidR="002A62CD">
        <w:rPr>
          <w:rFonts w:ascii="Arial" w:hAnsi="Arial" w:cs="Arial"/>
          <w:color w:val="000000"/>
          <w:sz w:val="20"/>
          <w:szCs w:val="22"/>
          <w:lang w:val="it-IT"/>
        </w:rPr>
        <w:t xml:space="preserve">pensione (Australia) </w:t>
      </w:r>
      <w:r w:rsidRPr="0050624F">
        <w:rPr>
          <w:rFonts w:ascii="Arial" w:hAnsi="Arial" w:cs="Arial"/>
          <w:color w:val="000000"/>
          <w:sz w:val="20"/>
          <w:szCs w:val="22"/>
          <w:lang w:val="it-IT"/>
        </w:rPr>
        <w:t>a prestazione definita.</w:t>
      </w:r>
    </w:p>
    <w:p w:rsidR="003B4D3E" w:rsidRPr="0050624F" w:rsidRDefault="003B4D3E" w:rsidP="005D1E82">
      <w:pPr>
        <w:pStyle w:val="Paragrafoelenco"/>
        <w:autoSpaceDE w:val="0"/>
        <w:autoSpaceDN w:val="0"/>
        <w:adjustRightInd w:val="0"/>
        <w:jc w:val="both"/>
        <w:rPr>
          <w:rFonts w:ascii="Arial" w:hAnsi="Arial" w:cs="Arial"/>
          <w:color w:val="000000"/>
          <w:sz w:val="20"/>
          <w:szCs w:val="22"/>
          <w:lang w:val="it-IT"/>
        </w:rPr>
      </w:pPr>
    </w:p>
    <w:p w:rsidR="003B4D3E" w:rsidRPr="0050624F" w:rsidRDefault="003B4D3E" w:rsidP="005D1E82">
      <w:pPr>
        <w:autoSpaceDE w:val="0"/>
        <w:autoSpaceDN w:val="0"/>
        <w:adjustRightInd w:val="0"/>
        <w:jc w:val="both"/>
        <w:rPr>
          <w:rFonts w:cs="Arial"/>
          <w:color w:val="000000"/>
          <w:szCs w:val="22"/>
          <w:lang w:val="it-IT"/>
        </w:rPr>
      </w:pPr>
      <w:r w:rsidRPr="0050624F">
        <w:rPr>
          <w:rFonts w:cs="Arial"/>
          <w:color w:val="000000"/>
          <w:szCs w:val="22"/>
          <w:lang w:val="it-IT"/>
        </w:rPr>
        <w:t>Collocazione geografica dei piani:</w:t>
      </w:r>
    </w:p>
    <w:p w:rsidR="003B4D3E" w:rsidRPr="0050624F" w:rsidRDefault="003B4D3E" w:rsidP="005D1E82">
      <w:pPr>
        <w:autoSpaceDE w:val="0"/>
        <w:autoSpaceDN w:val="0"/>
        <w:adjustRightInd w:val="0"/>
        <w:jc w:val="both"/>
        <w:rPr>
          <w:rFonts w:cs="Arial"/>
          <w:color w:val="000000"/>
          <w:szCs w:val="22"/>
          <w:lang w:val="it-IT"/>
        </w:rPr>
      </w:pPr>
    </w:p>
    <w:p w:rsidR="003B4D3E" w:rsidRPr="0050624F" w:rsidRDefault="003B4D3E" w:rsidP="005D1E82">
      <w:pPr>
        <w:pStyle w:val="Paragrafoelenco"/>
        <w:numPr>
          <w:ilvl w:val="0"/>
          <w:numId w:val="2"/>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52% Americhe</w:t>
      </w:r>
    </w:p>
    <w:p w:rsidR="003B4D3E" w:rsidRPr="0050624F" w:rsidRDefault="003B4D3E" w:rsidP="005D1E82">
      <w:pPr>
        <w:pStyle w:val="Paragrafoelenco"/>
        <w:numPr>
          <w:ilvl w:val="0"/>
          <w:numId w:val="2"/>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38% Europa</w:t>
      </w:r>
    </w:p>
    <w:p w:rsidR="003B4D3E" w:rsidRPr="0050624F" w:rsidRDefault="003B4D3E" w:rsidP="005D1E82">
      <w:pPr>
        <w:pStyle w:val="Paragrafoelenco"/>
        <w:numPr>
          <w:ilvl w:val="0"/>
          <w:numId w:val="2"/>
        </w:numPr>
        <w:autoSpaceDE w:val="0"/>
        <w:autoSpaceDN w:val="0"/>
        <w:adjustRightInd w:val="0"/>
        <w:jc w:val="both"/>
        <w:rPr>
          <w:rFonts w:ascii="Arial" w:hAnsi="Arial" w:cs="Arial"/>
          <w:color w:val="000000"/>
          <w:sz w:val="20"/>
          <w:szCs w:val="22"/>
          <w:lang w:val="it-IT"/>
        </w:rPr>
      </w:pPr>
      <w:r w:rsidRPr="0050624F">
        <w:rPr>
          <w:rFonts w:ascii="Arial" w:hAnsi="Arial" w:cs="Arial"/>
          <w:color w:val="000000"/>
          <w:sz w:val="20"/>
          <w:szCs w:val="22"/>
          <w:lang w:val="it-IT"/>
        </w:rPr>
        <w:t>10% Asia Pacifico</w:t>
      </w:r>
    </w:p>
    <w:p w:rsidR="003B4D3E" w:rsidRDefault="003B4D3E" w:rsidP="00D54621">
      <w:pPr>
        <w:autoSpaceDE w:val="0"/>
        <w:autoSpaceDN w:val="0"/>
        <w:jc w:val="both"/>
        <w:rPr>
          <w:rFonts w:cs="Arial"/>
          <w:b/>
          <w:bCs/>
          <w:szCs w:val="20"/>
          <w:lang w:val="it-IT"/>
        </w:rPr>
      </w:pPr>
    </w:p>
    <w:p w:rsidR="00D66A04" w:rsidRPr="0050624F" w:rsidRDefault="00D66A04" w:rsidP="00D54621">
      <w:pPr>
        <w:autoSpaceDE w:val="0"/>
        <w:autoSpaceDN w:val="0"/>
        <w:jc w:val="both"/>
        <w:rPr>
          <w:rFonts w:cs="Arial"/>
          <w:b/>
          <w:bCs/>
          <w:szCs w:val="20"/>
          <w:lang w:val="it-IT"/>
        </w:rPr>
      </w:pPr>
    </w:p>
    <w:p w:rsidR="00731429" w:rsidRPr="0050624F" w:rsidRDefault="00731429" w:rsidP="00D54621">
      <w:pPr>
        <w:autoSpaceDE w:val="0"/>
        <w:autoSpaceDN w:val="0"/>
        <w:jc w:val="both"/>
        <w:rPr>
          <w:rFonts w:cs="Arial"/>
          <w:szCs w:val="20"/>
          <w:lang w:val="it-IT"/>
        </w:rPr>
      </w:pPr>
      <w:r w:rsidRPr="0050624F">
        <w:rPr>
          <w:rFonts w:cs="Arial"/>
          <w:b/>
          <w:bCs/>
          <w:szCs w:val="20"/>
          <w:lang w:val="it-IT"/>
        </w:rPr>
        <w:t xml:space="preserve">BlackRock </w:t>
      </w:r>
    </w:p>
    <w:p w:rsidR="00731429" w:rsidRPr="0050624F" w:rsidRDefault="00D215EF" w:rsidP="005D1E82">
      <w:pPr>
        <w:jc w:val="both"/>
        <w:rPr>
          <w:rFonts w:eastAsia="Arial" w:cs="Arial"/>
          <w:szCs w:val="20"/>
          <w:lang w:val="it-IT"/>
        </w:rPr>
      </w:pPr>
      <w:r w:rsidRPr="00D215EF">
        <w:rPr>
          <w:rFonts w:eastAsia="Arial" w:cs="Arial"/>
          <w:szCs w:val="20"/>
          <w:lang w:val="it-IT"/>
        </w:rPr>
        <w:t>BlackRock supporta gli investitori nella costruzione di un futuro finanziario migliore. In qualità di gestore fiduciario, BlackRock offre ai propri clienti soluzioni di investimento e tecnologie necessarie alla pianificazione dei loro principali obiettivi.  Al 31 dicembre 2017 BlackRock gestisce un patrimonio di circa 6.288 miliardi di dollari per conto degli investitori a livello globale. Ulteriori informazioni sono disponibili all’indirizzo www.blackrock.com | Twitter: @blackrock | Blog: www.blackrockblog.com | LinkedIn: www.linkedin.com/company/blackrock</w:t>
      </w:r>
    </w:p>
    <w:p w:rsidR="000C4F23" w:rsidRPr="0050624F" w:rsidRDefault="000C4F23" w:rsidP="00E753FF">
      <w:pPr>
        <w:rPr>
          <w:rFonts w:eastAsia="Arial" w:cs="Arial"/>
          <w:szCs w:val="20"/>
          <w:lang w:val="it-IT"/>
        </w:rPr>
      </w:pPr>
    </w:p>
    <w:p w:rsidR="00AE7059" w:rsidRPr="00AE7059" w:rsidRDefault="00AE7059" w:rsidP="00D66A04">
      <w:pPr>
        <w:pStyle w:val="Default"/>
        <w:rPr>
          <w:rFonts w:ascii="Arial" w:hAnsi="Arial" w:cs="Arial"/>
          <w:b/>
          <w:sz w:val="18"/>
          <w:szCs w:val="18"/>
          <w:lang w:val="it-IT"/>
        </w:rPr>
      </w:pPr>
      <w:r w:rsidRPr="00AE7059">
        <w:rPr>
          <w:rFonts w:ascii="Arial" w:hAnsi="Arial" w:cs="Arial"/>
          <w:b/>
          <w:sz w:val="18"/>
          <w:szCs w:val="18"/>
          <w:lang w:val="it-IT"/>
        </w:rPr>
        <w:t>INFORMAZIONI IMPORTANTI</w:t>
      </w:r>
    </w:p>
    <w:p w:rsidR="00AE7059" w:rsidRDefault="00AE7059" w:rsidP="00D66A04">
      <w:pPr>
        <w:pStyle w:val="Default"/>
        <w:rPr>
          <w:rFonts w:ascii="Arial" w:hAnsi="Arial" w:cs="Arial"/>
          <w:sz w:val="18"/>
          <w:szCs w:val="18"/>
          <w:lang w:val="it-IT"/>
        </w:rPr>
      </w:pPr>
    </w:p>
    <w:p w:rsidR="00AE7059" w:rsidRDefault="00AE7059" w:rsidP="00D66A04">
      <w:pPr>
        <w:pStyle w:val="Default"/>
        <w:rPr>
          <w:rFonts w:ascii="Arial" w:hAnsi="Arial" w:cs="Arial"/>
          <w:sz w:val="18"/>
          <w:szCs w:val="18"/>
          <w:lang w:val="it-IT"/>
        </w:rPr>
      </w:pPr>
      <w:r w:rsidRPr="00AE7059">
        <w:rPr>
          <w:rFonts w:ascii="Arial" w:hAnsi="Arial" w:cs="Arial"/>
          <w:sz w:val="18"/>
          <w:szCs w:val="18"/>
          <w:lang w:val="it-IT"/>
        </w:rPr>
        <w:t xml:space="preserve">La presente comunicazione è a puro scopo informative e non costituisce una promozione finanziaria e/o un invito o sollecitazione ad investire in alcun prodotto finanziario o strategia di investimento. </w:t>
      </w:r>
    </w:p>
    <w:p w:rsidR="00AE7059" w:rsidRDefault="00AE7059" w:rsidP="00D66A04">
      <w:pPr>
        <w:pStyle w:val="Default"/>
        <w:rPr>
          <w:rFonts w:ascii="Arial" w:hAnsi="Arial" w:cs="Arial"/>
          <w:sz w:val="18"/>
          <w:szCs w:val="18"/>
          <w:lang w:val="it-IT"/>
        </w:rPr>
      </w:pPr>
      <w:r w:rsidRPr="00AE7059">
        <w:rPr>
          <w:rFonts w:ascii="Arial" w:hAnsi="Arial" w:cs="Arial"/>
          <w:sz w:val="18"/>
          <w:szCs w:val="18"/>
          <w:lang w:val="it-IT"/>
        </w:rPr>
        <w:t>Questo documento non deve essere considerato un’offerta di acquisto o vendita o una sollecitazione all’investimento in alcun prodotto finanziario citato e non deve essere considerato un messaggio promozionale o sollecitazione all’investimento rivolto a persone residenti negli USA, in Canada o a soggetti residenti in paesi in cui i prodotti non sono autorizzati o registrati per la distribuzione o in cui Prospetto non è stato depositato presso le competenti autorità locali</w:t>
      </w:r>
      <w:r>
        <w:rPr>
          <w:rFonts w:ascii="Arial" w:hAnsi="Arial" w:cs="Arial"/>
          <w:sz w:val="18"/>
          <w:szCs w:val="18"/>
          <w:lang w:val="it-IT"/>
        </w:rPr>
        <w:t>.</w:t>
      </w:r>
    </w:p>
    <w:p w:rsidR="00AE7059" w:rsidRDefault="00AE7059" w:rsidP="00D66A04">
      <w:pPr>
        <w:pStyle w:val="Default"/>
        <w:rPr>
          <w:rFonts w:ascii="Arial" w:hAnsi="Arial" w:cs="Arial"/>
          <w:sz w:val="18"/>
          <w:szCs w:val="18"/>
          <w:lang w:val="it-IT"/>
        </w:rPr>
      </w:pPr>
    </w:p>
    <w:p w:rsidR="00AE7059" w:rsidRPr="00AE7059" w:rsidRDefault="00AE7059" w:rsidP="00AE7059">
      <w:pPr>
        <w:pStyle w:val="Default"/>
        <w:rPr>
          <w:rFonts w:ascii="Arial" w:hAnsi="Arial" w:cs="Arial"/>
          <w:sz w:val="18"/>
          <w:szCs w:val="18"/>
          <w:lang w:val="it-IT"/>
        </w:rPr>
      </w:pPr>
      <w:r w:rsidRPr="00AE7059">
        <w:rPr>
          <w:rFonts w:ascii="Arial" w:hAnsi="Arial" w:cs="Arial"/>
          <w:sz w:val="18"/>
          <w:szCs w:val="18"/>
          <w:lang w:val="it-IT"/>
        </w:rPr>
        <w:t>Predisposto da BlackRock Investment Management (UK) Limited, società autorizzata e regolamentata dalla Financial Conduct Authority (“FCA”). Sede legale: 12 Throgmorton Avenue, Londra, EC2N 2DL.  Registrata presso Companies House nel Regno Unito con il numero di registro 2020394. In Italia, questo documento è stato elaborato da BlackRock Investment Management (UK) Limited, succursale italiana, Milano, Piazza San Fedele n. 2 (“BlackRock Milano”). BlackRock è la denominazione commerciale di BlackRock Investment Management (UK) Limited.</w:t>
      </w:r>
    </w:p>
    <w:p w:rsidR="00AE7059" w:rsidRDefault="00AE7059" w:rsidP="00AE7059">
      <w:pPr>
        <w:pStyle w:val="Default"/>
        <w:rPr>
          <w:rFonts w:ascii="Arial" w:hAnsi="Arial" w:cs="Arial"/>
          <w:sz w:val="18"/>
          <w:szCs w:val="18"/>
          <w:lang w:val="it-IT"/>
        </w:rPr>
      </w:pPr>
    </w:p>
    <w:p w:rsidR="00AE7059" w:rsidRDefault="00AE7059" w:rsidP="00AE7059">
      <w:pPr>
        <w:pStyle w:val="Default"/>
        <w:rPr>
          <w:rFonts w:ascii="Arial" w:hAnsi="Arial" w:cs="Arial"/>
          <w:sz w:val="18"/>
          <w:szCs w:val="18"/>
          <w:lang w:val="it-IT"/>
        </w:rPr>
      </w:pPr>
      <w:r>
        <w:rPr>
          <w:rFonts w:ascii="Arial" w:hAnsi="Arial" w:cs="Arial"/>
          <w:sz w:val="18"/>
          <w:szCs w:val="18"/>
          <w:lang w:val="it-IT"/>
        </w:rPr>
        <w:t xml:space="preserve">Tutti gli investimenti comportano dei rischi. </w:t>
      </w:r>
      <w:r w:rsidRPr="00AE7059">
        <w:rPr>
          <w:rFonts w:ascii="Arial" w:hAnsi="Arial" w:cs="Arial"/>
          <w:sz w:val="18"/>
          <w:szCs w:val="18"/>
          <w:lang w:val="it-IT"/>
        </w:rPr>
        <w:t xml:space="preserve">I rendimenti passati non sono indicativi di possibili rendimenti futuri. Il valore dell’investimento o il rendimento possono variare al rialzo o al ribasso.  Il capitale investito non è garantito.  Un investimento è soggetto al rischio di perdita del capitale investito.  Il valore dell’investimento può variare al variare del tasso di cambio tra valute.  Le fluttuazioni di valore possono essere ampie nel caso di prodotti esposti ad alta volatilità.  </w:t>
      </w:r>
    </w:p>
    <w:p w:rsidR="00AE7059" w:rsidRDefault="00AE7059" w:rsidP="00AE7059">
      <w:pPr>
        <w:pStyle w:val="Default"/>
        <w:rPr>
          <w:rFonts w:ascii="Arial" w:hAnsi="Arial" w:cs="Arial"/>
          <w:sz w:val="18"/>
          <w:szCs w:val="18"/>
          <w:lang w:val="it-IT"/>
        </w:rPr>
      </w:pPr>
    </w:p>
    <w:p w:rsidR="00AE7059" w:rsidRDefault="00AE7059" w:rsidP="00D66A04">
      <w:pPr>
        <w:pStyle w:val="Default"/>
        <w:rPr>
          <w:rFonts w:ascii="Arial" w:hAnsi="Arial" w:cs="Arial"/>
          <w:sz w:val="18"/>
          <w:szCs w:val="18"/>
          <w:lang w:val="it-IT"/>
        </w:rPr>
      </w:pPr>
    </w:p>
    <w:p w:rsidR="00D66A04" w:rsidRPr="00D66A04" w:rsidRDefault="00D66A04" w:rsidP="00D66A04">
      <w:pPr>
        <w:pStyle w:val="Default"/>
        <w:rPr>
          <w:rFonts w:ascii="Arial" w:hAnsi="Arial" w:cs="Arial"/>
          <w:sz w:val="18"/>
          <w:szCs w:val="18"/>
        </w:rPr>
      </w:pPr>
    </w:p>
    <w:p w:rsidR="00D66A04" w:rsidRPr="00AE7059" w:rsidRDefault="00AE7059" w:rsidP="00D66A04">
      <w:pPr>
        <w:pStyle w:val="Default"/>
        <w:rPr>
          <w:rFonts w:ascii="Arial" w:hAnsi="Arial" w:cs="Arial"/>
          <w:sz w:val="18"/>
          <w:szCs w:val="18"/>
          <w:lang w:val="it-IT"/>
        </w:rPr>
      </w:pPr>
      <w:r w:rsidRPr="00AE7059">
        <w:rPr>
          <w:rFonts w:ascii="Arial" w:hAnsi="Arial" w:cs="Arial"/>
          <w:sz w:val="18"/>
          <w:szCs w:val="18"/>
          <w:lang w:val="it-IT"/>
        </w:rPr>
        <w:t>Il presente documento è stato predisposto sulla base di dati elaborati da BlackRock (ed eventualmente da altre società del Gruppo BlackRock) e sulla base di informazioni pubblicamente disponibili o di altre fonti di terze parti alla data del suo rilascio. BlackRock non garantisce l'accuratezza, la completezza e l'affidabilità dei dati e delle informazioni fornite da terzi e declina ogni responsabilità al riguardo.</w:t>
      </w:r>
    </w:p>
    <w:p w:rsidR="00AE7059" w:rsidRPr="00AE7059" w:rsidRDefault="00AE7059" w:rsidP="00D66A04">
      <w:pPr>
        <w:pStyle w:val="Default"/>
        <w:rPr>
          <w:rFonts w:ascii="Arial" w:hAnsi="Arial" w:cs="Arial"/>
          <w:sz w:val="18"/>
          <w:szCs w:val="18"/>
          <w:lang w:val="it-IT"/>
        </w:rPr>
      </w:pPr>
    </w:p>
    <w:p w:rsidR="00D66A04" w:rsidRPr="00D66A04" w:rsidRDefault="00AE7059" w:rsidP="00D66A04">
      <w:pPr>
        <w:rPr>
          <w:rFonts w:eastAsia="Arial" w:cs="Arial"/>
          <w:noProof/>
          <w:sz w:val="18"/>
          <w:szCs w:val="18"/>
          <w:lang w:eastAsia="ja-JP"/>
        </w:rPr>
      </w:pPr>
      <w:r w:rsidRPr="00AE7059">
        <w:rPr>
          <w:sz w:val="18"/>
          <w:szCs w:val="18"/>
          <w:lang w:val="it-IT"/>
        </w:rPr>
        <w:t xml:space="preserve">© 2018 BlackRock, Inc. Tutti i diritti riservati. BLACKROCK, BLACKROCK SOLUTIONS, iSHARES, BUILD ON BLACKROCK, SO WHAT DO I DO WITH MY MONEY e il logo 'i' stilizzato di iShares sono marchi registrati o non registrati di BlackRock, Inc. o società consociate o affiliate negli Stati Uniti o altrove.  </w:t>
      </w:r>
      <w:proofErr w:type="spellStart"/>
      <w:r w:rsidRPr="00AE7059">
        <w:rPr>
          <w:sz w:val="18"/>
          <w:szCs w:val="18"/>
          <w:lang w:val="en-US"/>
        </w:rPr>
        <w:t>Tutti</w:t>
      </w:r>
      <w:proofErr w:type="spellEnd"/>
      <w:r w:rsidRPr="00AE7059">
        <w:rPr>
          <w:sz w:val="18"/>
          <w:szCs w:val="18"/>
          <w:lang w:val="en-US"/>
        </w:rPr>
        <w:t xml:space="preserve"> </w:t>
      </w:r>
      <w:proofErr w:type="spellStart"/>
      <w:r w:rsidRPr="00AE7059">
        <w:rPr>
          <w:sz w:val="18"/>
          <w:szCs w:val="18"/>
          <w:lang w:val="en-US"/>
        </w:rPr>
        <w:t>gli</w:t>
      </w:r>
      <w:proofErr w:type="spellEnd"/>
      <w:r w:rsidRPr="00AE7059">
        <w:rPr>
          <w:sz w:val="18"/>
          <w:szCs w:val="18"/>
          <w:lang w:val="en-US"/>
        </w:rPr>
        <w:t xml:space="preserve"> </w:t>
      </w:r>
      <w:proofErr w:type="spellStart"/>
      <w:r w:rsidRPr="00AE7059">
        <w:rPr>
          <w:sz w:val="18"/>
          <w:szCs w:val="18"/>
          <w:lang w:val="en-US"/>
        </w:rPr>
        <w:t>altri</w:t>
      </w:r>
      <w:proofErr w:type="spellEnd"/>
      <w:r w:rsidRPr="00AE7059">
        <w:rPr>
          <w:sz w:val="18"/>
          <w:szCs w:val="18"/>
          <w:lang w:val="en-US"/>
        </w:rPr>
        <w:t xml:space="preserve"> </w:t>
      </w:r>
      <w:proofErr w:type="spellStart"/>
      <w:r w:rsidRPr="00AE7059">
        <w:rPr>
          <w:sz w:val="18"/>
          <w:szCs w:val="18"/>
          <w:lang w:val="en-US"/>
        </w:rPr>
        <w:t>marchi</w:t>
      </w:r>
      <w:proofErr w:type="spellEnd"/>
      <w:r w:rsidRPr="00AE7059">
        <w:rPr>
          <w:sz w:val="18"/>
          <w:szCs w:val="18"/>
          <w:lang w:val="en-US"/>
        </w:rPr>
        <w:t xml:space="preserve"> </w:t>
      </w:r>
      <w:proofErr w:type="spellStart"/>
      <w:r w:rsidRPr="00AE7059">
        <w:rPr>
          <w:sz w:val="18"/>
          <w:szCs w:val="18"/>
          <w:lang w:val="en-US"/>
        </w:rPr>
        <w:t>appartengono</w:t>
      </w:r>
      <w:proofErr w:type="spellEnd"/>
      <w:r w:rsidRPr="00AE7059">
        <w:rPr>
          <w:sz w:val="18"/>
          <w:szCs w:val="18"/>
          <w:lang w:val="en-US"/>
        </w:rPr>
        <w:t xml:space="preserve"> ai </w:t>
      </w:r>
      <w:proofErr w:type="spellStart"/>
      <w:r w:rsidRPr="00AE7059">
        <w:rPr>
          <w:sz w:val="18"/>
          <w:szCs w:val="18"/>
          <w:lang w:val="en-US"/>
        </w:rPr>
        <w:t>rispettivi</w:t>
      </w:r>
      <w:proofErr w:type="spellEnd"/>
      <w:r w:rsidRPr="00AE7059">
        <w:rPr>
          <w:sz w:val="18"/>
          <w:szCs w:val="18"/>
          <w:lang w:val="en-US"/>
        </w:rPr>
        <w:t xml:space="preserve"> </w:t>
      </w:r>
      <w:proofErr w:type="spellStart"/>
      <w:r w:rsidRPr="00AE7059">
        <w:rPr>
          <w:sz w:val="18"/>
          <w:szCs w:val="18"/>
          <w:lang w:val="en-US"/>
        </w:rPr>
        <w:t>proprietari</w:t>
      </w:r>
      <w:proofErr w:type="spellEnd"/>
      <w:r w:rsidRPr="00AE7059">
        <w:rPr>
          <w:sz w:val="18"/>
          <w:szCs w:val="18"/>
          <w:lang w:val="en-US"/>
        </w:rPr>
        <w:t>.</w:t>
      </w:r>
    </w:p>
    <w:p w:rsidR="00D66A04" w:rsidRPr="00D66A04" w:rsidRDefault="00D66A04" w:rsidP="00D66A04">
      <w:pPr>
        <w:rPr>
          <w:rFonts w:eastAsia="Arial" w:cs="Arial"/>
          <w:noProof/>
          <w:sz w:val="18"/>
          <w:szCs w:val="18"/>
          <w:lang w:val="en-US" w:eastAsia="ja-JP"/>
        </w:rPr>
      </w:pPr>
    </w:p>
    <w:p w:rsidR="00D66A04" w:rsidRPr="00D66A04" w:rsidRDefault="00D66A04" w:rsidP="00D66A04">
      <w:pPr>
        <w:rPr>
          <w:rFonts w:eastAsia="Arial" w:cs="Arial"/>
          <w:noProof/>
          <w:sz w:val="18"/>
          <w:szCs w:val="18"/>
          <w:lang w:val="en-US" w:eastAsia="ja-JP"/>
        </w:rPr>
      </w:pPr>
      <w:r w:rsidRPr="00D66A04">
        <w:rPr>
          <w:rFonts w:eastAsia="Arial" w:cs="Arial"/>
          <w:noProof/>
          <w:sz w:val="18"/>
          <w:szCs w:val="18"/>
          <w:lang w:val="en-US" w:eastAsia="ja-JP"/>
        </w:rPr>
        <w:t xml:space="preserve"> </w:t>
      </w:r>
    </w:p>
    <w:p w:rsidR="00D66A04" w:rsidRPr="00D66A04" w:rsidRDefault="00D66A04" w:rsidP="00E753FF">
      <w:pPr>
        <w:rPr>
          <w:rFonts w:eastAsia="Arial" w:cs="Arial"/>
          <w:sz w:val="18"/>
          <w:szCs w:val="18"/>
          <w:lang w:val="it-IT"/>
        </w:rPr>
      </w:pPr>
    </w:p>
    <w:sectPr w:rsidR="00D66A04" w:rsidRPr="00D66A04">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F8" w:rsidRDefault="00E47CF8" w:rsidP="006F78BA">
      <w:r>
        <w:separator/>
      </w:r>
    </w:p>
  </w:endnote>
  <w:endnote w:type="continuationSeparator" w:id="0">
    <w:p w:rsidR="00E47CF8" w:rsidRDefault="00E47CF8" w:rsidP="006F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2E" w:rsidRDefault="0051472E" w:rsidP="00263546">
    <w:pPr>
      <w:pStyle w:val="Pidipagina"/>
    </w:pPr>
  </w:p>
  <w:p w:rsidR="0051472E" w:rsidRDefault="00AA6007">
    <w:pPr>
      <w:jc w:val="right"/>
      <w:textAlignment w:val="bottom"/>
    </w:pPr>
    <w:r>
      <w:rPr>
        <w:rFonts w:ascii="Times New Roman" w:hAnsi="Times New Roman"/>
        <w:color w:val="4F4E50"/>
        <w:sz w:val="16"/>
      </w:rPr>
      <w:t>MKTG0418E-462418-1459075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2E" w:rsidRDefault="0051472E" w:rsidP="00263546">
    <w:pPr>
      <w:pStyle w:val="Pidipagina"/>
    </w:pPr>
  </w:p>
  <w:p w:rsidR="0051472E" w:rsidRDefault="00AA6007">
    <w:pPr>
      <w:jc w:val="right"/>
      <w:textAlignment w:val="bottom"/>
    </w:pPr>
    <w:r>
      <w:rPr>
        <w:rFonts w:ascii="Times New Roman" w:hAnsi="Times New Roman"/>
        <w:color w:val="4F4E50"/>
        <w:sz w:val="16"/>
      </w:rPr>
      <w:t>MKTG0418E-462418-1459075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F8" w:rsidRDefault="00E47CF8" w:rsidP="006F78BA">
      <w:r>
        <w:separator/>
      </w:r>
    </w:p>
  </w:footnote>
  <w:footnote w:type="continuationSeparator" w:id="0">
    <w:p w:rsidR="00E47CF8" w:rsidRDefault="00E47CF8" w:rsidP="006F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BA" w:rsidRPr="006F78BA" w:rsidRDefault="006F78BA" w:rsidP="006F78BA">
    <w:pPr>
      <w:pStyle w:val="Intestazione"/>
      <w:jc w:val="right"/>
    </w:pPr>
    <w:r>
      <w:rPr>
        <w:rFonts w:ascii="Trebuchet MS" w:hAnsi="Trebuchet MS"/>
        <w:b/>
        <w:bCs/>
        <w:noProof/>
        <w:sz w:val="18"/>
        <w:lang w:eastAsia="en-GB"/>
      </w:rPr>
      <w:drawing>
        <wp:inline distT="0" distB="0" distL="0" distR="0" wp14:anchorId="183B5E90" wp14:editId="38A78BAF">
          <wp:extent cx="1876425" cy="276225"/>
          <wp:effectExtent l="0" t="0" r="9525" b="9525"/>
          <wp:docPr id="1" name="Picture 1" descr="Black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R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51AE"/>
    <w:multiLevelType w:val="hybridMultilevel"/>
    <w:tmpl w:val="727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6630"/>
    <w:multiLevelType w:val="hybridMultilevel"/>
    <w:tmpl w:val="2E747F2A"/>
    <w:lvl w:ilvl="0" w:tplc="FB826440">
      <w:start w:val="1"/>
      <w:numFmt w:val="bullet"/>
      <w:lvlText w:val="•"/>
      <w:lvlJc w:val="left"/>
      <w:pPr>
        <w:tabs>
          <w:tab w:val="num" w:pos="720"/>
        </w:tabs>
        <w:ind w:left="720" w:hanging="360"/>
      </w:pPr>
      <w:rPr>
        <w:rFonts w:ascii="Arial" w:hAnsi="Arial" w:hint="default"/>
      </w:rPr>
    </w:lvl>
    <w:lvl w:ilvl="1" w:tplc="7152BF4E" w:tentative="1">
      <w:start w:val="1"/>
      <w:numFmt w:val="bullet"/>
      <w:lvlText w:val="•"/>
      <w:lvlJc w:val="left"/>
      <w:pPr>
        <w:tabs>
          <w:tab w:val="num" w:pos="1440"/>
        </w:tabs>
        <w:ind w:left="1440" w:hanging="360"/>
      </w:pPr>
      <w:rPr>
        <w:rFonts w:ascii="Arial" w:hAnsi="Arial" w:hint="default"/>
      </w:rPr>
    </w:lvl>
    <w:lvl w:ilvl="2" w:tplc="CB22580E" w:tentative="1">
      <w:start w:val="1"/>
      <w:numFmt w:val="bullet"/>
      <w:lvlText w:val="•"/>
      <w:lvlJc w:val="left"/>
      <w:pPr>
        <w:tabs>
          <w:tab w:val="num" w:pos="2160"/>
        </w:tabs>
        <w:ind w:left="2160" w:hanging="360"/>
      </w:pPr>
      <w:rPr>
        <w:rFonts w:ascii="Arial" w:hAnsi="Arial" w:hint="default"/>
      </w:rPr>
    </w:lvl>
    <w:lvl w:ilvl="3" w:tplc="8F042990" w:tentative="1">
      <w:start w:val="1"/>
      <w:numFmt w:val="bullet"/>
      <w:lvlText w:val="•"/>
      <w:lvlJc w:val="left"/>
      <w:pPr>
        <w:tabs>
          <w:tab w:val="num" w:pos="2880"/>
        </w:tabs>
        <w:ind w:left="2880" w:hanging="360"/>
      </w:pPr>
      <w:rPr>
        <w:rFonts w:ascii="Arial" w:hAnsi="Arial" w:hint="default"/>
      </w:rPr>
    </w:lvl>
    <w:lvl w:ilvl="4" w:tplc="D55CB7AA" w:tentative="1">
      <w:start w:val="1"/>
      <w:numFmt w:val="bullet"/>
      <w:lvlText w:val="•"/>
      <w:lvlJc w:val="left"/>
      <w:pPr>
        <w:tabs>
          <w:tab w:val="num" w:pos="3600"/>
        </w:tabs>
        <w:ind w:left="3600" w:hanging="360"/>
      </w:pPr>
      <w:rPr>
        <w:rFonts w:ascii="Arial" w:hAnsi="Arial" w:hint="default"/>
      </w:rPr>
    </w:lvl>
    <w:lvl w:ilvl="5" w:tplc="8A3CA98E" w:tentative="1">
      <w:start w:val="1"/>
      <w:numFmt w:val="bullet"/>
      <w:lvlText w:val="•"/>
      <w:lvlJc w:val="left"/>
      <w:pPr>
        <w:tabs>
          <w:tab w:val="num" w:pos="4320"/>
        </w:tabs>
        <w:ind w:left="4320" w:hanging="360"/>
      </w:pPr>
      <w:rPr>
        <w:rFonts w:ascii="Arial" w:hAnsi="Arial" w:hint="default"/>
      </w:rPr>
    </w:lvl>
    <w:lvl w:ilvl="6" w:tplc="44E440B8" w:tentative="1">
      <w:start w:val="1"/>
      <w:numFmt w:val="bullet"/>
      <w:lvlText w:val="•"/>
      <w:lvlJc w:val="left"/>
      <w:pPr>
        <w:tabs>
          <w:tab w:val="num" w:pos="5040"/>
        </w:tabs>
        <w:ind w:left="5040" w:hanging="360"/>
      </w:pPr>
      <w:rPr>
        <w:rFonts w:ascii="Arial" w:hAnsi="Arial" w:hint="default"/>
      </w:rPr>
    </w:lvl>
    <w:lvl w:ilvl="7" w:tplc="5E9AD828" w:tentative="1">
      <w:start w:val="1"/>
      <w:numFmt w:val="bullet"/>
      <w:lvlText w:val="•"/>
      <w:lvlJc w:val="left"/>
      <w:pPr>
        <w:tabs>
          <w:tab w:val="num" w:pos="5760"/>
        </w:tabs>
        <w:ind w:left="5760" w:hanging="360"/>
      </w:pPr>
      <w:rPr>
        <w:rFonts w:ascii="Arial" w:hAnsi="Arial" w:hint="default"/>
      </w:rPr>
    </w:lvl>
    <w:lvl w:ilvl="8" w:tplc="1C7E98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0A6F74"/>
    <w:multiLevelType w:val="hybridMultilevel"/>
    <w:tmpl w:val="133A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D7126"/>
    <w:multiLevelType w:val="hybridMultilevel"/>
    <w:tmpl w:val="185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BA"/>
    <w:rsid w:val="000032E4"/>
    <w:rsid w:val="000406B2"/>
    <w:rsid w:val="000506F1"/>
    <w:rsid w:val="0007768B"/>
    <w:rsid w:val="00087385"/>
    <w:rsid w:val="000A6D4D"/>
    <w:rsid w:val="000C4F23"/>
    <w:rsid w:val="000F3940"/>
    <w:rsid w:val="00100E63"/>
    <w:rsid w:val="001031F0"/>
    <w:rsid w:val="00121BAA"/>
    <w:rsid w:val="00125934"/>
    <w:rsid w:val="001951A7"/>
    <w:rsid w:val="001D1A5B"/>
    <w:rsid w:val="001E7155"/>
    <w:rsid w:val="001F2145"/>
    <w:rsid w:val="001F6365"/>
    <w:rsid w:val="002457C8"/>
    <w:rsid w:val="00253A47"/>
    <w:rsid w:val="00260116"/>
    <w:rsid w:val="00263546"/>
    <w:rsid w:val="00265E82"/>
    <w:rsid w:val="002858A9"/>
    <w:rsid w:val="002A0832"/>
    <w:rsid w:val="002A62CD"/>
    <w:rsid w:val="002B0CB2"/>
    <w:rsid w:val="002E119F"/>
    <w:rsid w:val="002F25DE"/>
    <w:rsid w:val="002F508E"/>
    <w:rsid w:val="003017FB"/>
    <w:rsid w:val="00310435"/>
    <w:rsid w:val="00313F4A"/>
    <w:rsid w:val="00333A42"/>
    <w:rsid w:val="00391D34"/>
    <w:rsid w:val="003B0EB2"/>
    <w:rsid w:val="003B4D3E"/>
    <w:rsid w:val="003B68E0"/>
    <w:rsid w:val="003C5353"/>
    <w:rsid w:val="003D478F"/>
    <w:rsid w:val="003F48EC"/>
    <w:rsid w:val="0041742F"/>
    <w:rsid w:val="00436A32"/>
    <w:rsid w:val="0047375E"/>
    <w:rsid w:val="004820BB"/>
    <w:rsid w:val="00493D35"/>
    <w:rsid w:val="004D5E04"/>
    <w:rsid w:val="0050624F"/>
    <w:rsid w:val="0051472E"/>
    <w:rsid w:val="005158CA"/>
    <w:rsid w:val="005241D5"/>
    <w:rsid w:val="00531367"/>
    <w:rsid w:val="00547C9D"/>
    <w:rsid w:val="00556587"/>
    <w:rsid w:val="00577B64"/>
    <w:rsid w:val="005C5E8E"/>
    <w:rsid w:val="005C6EF2"/>
    <w:rsid w:val="005D1E82"/>
    <w:rsid w:val="005D7382"/>
    <w:rsid w:val="005E4509"/>
    <w:rsid w:val="006071B1"/>
    <w:rsid w:val="00641C65"/>
    <w:rsid w:val="006561AE"/>
    <w:rsid w:val="006877FB"/>
    <w:rsid w:val="006940B8"/>
    <w:rsid w:val="0069507C"/>
    <w:rsid w:val="006A4E73"/>
    <w:rsid w:val="006D1B7E"/>
    <w:rsid w:val="006F78BA"/>
    <w:rsid w:val="00705D99"/>
    <w:rsid w:val="00731429"/>
    <w:rsid w:val="00734599"/>
    <w:rsid w:val="0075152E"/>
    <w:rsid w:val="00761E47"/>
    <w:rsid w:val="00762BF3"/>
    <w:rsid w:val="007648F4"/>
    <w:rsid w:val="00774740"/>
    <w:rsid w:val="00781DA7"/>
    <w:rsid w:val="00786CF7"/>
    <w:rsid w:val="007C3906"/>
    <w:rsid w:val="007C427C"/>
    <w:rsid w:val="007C5AA6"/>
    <w:rsid w:val="007C78CB"/>
    <w:rsid w:val="007D2560"/>
    <w:rsid w:val="007D2929"/>
    <w:rsid w:val="007F4EF4"/>
    <w:rsid w:val="0080671F"/>
    <w:rsid w:val="0080752D"/>
    <w:rsid w:val="00815B44"/>
    <w:rsid w:val="00856B1B"/>
    <w:rsid w:val="00861D34"/>
    <w:rsid w:val="008712EE"/>
    <w:rsid w:val="00874472"/>
    <w:rsid w:val="008745D8"/>
    <w:rsid w:val="008759A0"/>
    <w:rsid w:val="00876EE2"/>
    <w:rsid w:val="00886782"/>
    <w:rsid w:val="008A37C5"/>
    <w:rsid w:val="008C1424"/>
    <w:rsid w:val="008C5FB0"/>
    <w:rsid w:val="009146DE"/>
    <w:rsid w:val="009308A2"/>
    <w:rsid w:val="009410B2"/>
    <w:rsid w:val="00946294"/>
    <w:rsid w:val="009809AB"/>
    <w:rsid w:val="00981A09"/>
    <w:rsid w:val="00982ADC"/>
    <w:rsid w:val="009A179A"/>
    <w:rsid w:val="009A207D"/>
    <w:rsid w:val="009D2AE0"/>
    <w:rsid w:val="009D558B"/>
    <w:rsid w:val="009E2AD1"/>
    <w:rsid w:val="009F7DFB"/>
    <w:rsid w:val="00A0513E"/>
    <w:rsid w:val="00A2616F"/>
    <w:rsid w:val="00A3051D"/>
    <w:rsid w:val="00A443EF"/>
    <w:rsid w:val="00A44EBF"/>
    <w:rsid w:val="00A52DCA"/>
    <w:rsid w:val="00A6537C"/>
    <w:rsid w:val="00A67DEE"/>
    <w:rsid w:val="00A81DD6"/>
    <w:rsid w:val="00A838F9"/>
    <w:rsid w:val="00AA6007"/>
    <w:rsid w:val="00AB14AA"/>
    <w:rsid w:val="00AE4373"/>
    <w:rsid w:val="00AE7059"/>
    <w:rsid w:val="00B2108D"/>
    <w:rsid w:val="00B2780C"/>
    <w:rsid w:val="00B3046B"/>
    <w:rsid w:val="00B342BD"/>
    <w:rsid w:val="00B57AC9"/>
    <w:rsid w:val="00B6448C"/>
    <w:rsid w:val="00B6567D"/>
    <w:rsid w:val="00B71AD8"/>
    <w:rsid w:val="00BA5B30"/>
    <w:rsid w:val="00BA6ECB"/>
    <w:rsid w:val="00BC7716"/>
    <w:rsid w:val="00BD125D"/>
    <w:rsid w:val="00BD19A2"/>
    <w:rsid w:val="00BF409B"/>
    <w:rsid w:val="00C158ED"/>
    <w:rsid w:val="00C5010A"/>
    <w:rsid w:val="00C743C2"/>
    <w:rsid w:val="00C9476C"/>
    <w:rsid w:val="00CA027B"/>
    <w:rsid w:val="00CA7068"/>
    <w:rsid w:val="00CB292F"/>
    <w:rsid w:val="00CB5230"/>
    <w:rsid w:val="00D05546"/>
    <w:rsid w:val="00D07EED"/>
    <w:rsid w:val="00D215EF"/>
    <w:rsid w:val="00D238CF"/>
    <w:rsid w:val="00D269C2"/>
    <w:rsid w:val="00D54621"/>
    <w:rsid w:val="00D66A04"/>
    <w:rsid w:val="00D71B36"/>
    <w:rsid w:val="00D95D60"/>
    <w:rsid w:val="00E12A0E"/>
    <w:rsid w:val="00E47CF8"/>
    <w:rsid w:val="00E6235E"/>
    <w:rsid w:val="00E64241"/>
    <w:rsid w:val="00E753FF"/>
    <w:rsid w:val="00E9760A"/>
    <w:rsid w:val="00EA3FC5"/>
    <w:rsid w:val="00EE5F4A"/>
    <w:rsid w:val="00EF65FB"/>
    <w:rsid w:val="00F07333"/>
    <w:rsid w:val="00F11485"/>
    <w:rsid w:val="00F21135"/>
    <w:rsid w:val="00F25A47"/>
    <w:rsid w:val="00F61FFD"/>
    <w:rsid w:val="00F63C1E"/>
    <w:rsid w:val="00F67069"/>
    <w:rsid w:val="00FA1134"/>
    <w:rsid w:val="00FB7352"/>
    <w:rsid w:val="00FC42D9"/>
    <w:rsid w:val="00FD7C69"/>
    <w:rsid w:val="00FE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3F7E"/>
  <w15:docId w15:val="{B2F6EBD8-374B-4BEC-A443-C1461FB3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7716"/>
    <w:pPr>
      <w:spacing w:after="0" w:line="240" w:lineRule="auto"/>
    </w:pPr>
    <w:rPr>
      <w:rFonts w:ascii="Arial" w:hAnsi="Arial" w:cs="Times New Roman"/>
      <w:sz w:val="20"/>
      <w:szCs w:val="24"/>
    </w:rPr>
  </w:style>
  <w:style w:type="paragraph" w:styleId="Titolo1">
    <w:name w:val="heading 1"/>
    <w:basedOn w:val="Normale"/>
    <w:next w:val="Normale"/>
    <w:link w:val="Titolo1Carattere"/>
    <w:uiPriority w:val="9"/>
    <w:qFormat/>
    <w:rsid w:val="009E2AD1"/>
    <w:pPr>
      <w:keepNext/>
      <w:keepLines/>
      <w:spacing w:before="240" w:line="259" w:lineRule="auto"/>
      <w:outlineLvl w:val="0"/>
    </w:pPr>
    <w:rPr>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2AD1"/>
    <w:rPr>
      <w:rFonts w:ascii="Arial" w:eastAsia="Times New Roman" w:hAnsi="Arial" w:cs="Times New Roman"/>
      <w:b/>
      <w:bCs/>
      <w:sz w:val="20"/>
      <w:szCs w:val="28"/>
    </w:rPr>
  </w:style>
  <w:style w:type="paragraph" w:styleId="Intestazione">
    <w:name w:val="header"/>
    <w:basedOn w:val="Normale"/>
    <w:link w:val="IntestazioneCarattere"/>
    <w:uiPriority w:val="99"/>
    <w:unhideWhenUsed/>
    <w:rsid w:val="006F78BA"/>
    <w:pPr>
      <w:tabs>
        <w:tab w:val="center" w:pos="4513"/>
        <w:tab w:val="right" w:pos="9026"/>
      </w:tabs>
    </w:pPr>
  </w:style>
  <w:style w:type="character" w:customStyle="1" w:styleId="IntestazioneCarattere">
    <w:name w:val="Intestazione Carattere"/>
    <w:basedOn w:val="Carpredefinitoparagrafo"/>
    <w:link w:val="Intestazione"/>
    <w:uiPriority w:val="99"/>
    <w:rsid w:val="006F78BA"/>
    <w:rPr>
      <w:rFonts w:ascii="Arial" w:hAnsi="Arial" w:cs="Times New Roman"/>
      <w:sz w:val="20"/>
      <w:szCs w:val="24"/>
    </w:rPr>
  </w:style>
  <w:style w:type="paragraph" w:styleId="Pidipagina">
    <w:name w:val="footer"/>
    <w:basedOn w:val="Normale"/>
    <w:link w:val="PidipaginaCarattere"/>
    <w:uiPriority w:val="99"/>
    <w:unhideWhenUsed/>
    <w:rsid w:val="006F78BA"/>
    <w:pPr>
      <w:tabs>
        <w:tab w:val="center" w:pos="4513"/>
        <w:tab w:val="right" w:pos="9026"/>
      </w:tabs>
    </w:pPr>
  </w:style>
  <w:style w:type="character" w:customStyle="1" w:styleId="PidipaginaCarattere">
    <w:name w:val="Piè di pagina Carattere"/>
    <w:basedOn w:val="Carpredefinitoparagrafo"/>
    <w:link w:val="Pidipagina"/>
    <w:uiPriority w:val="99"/>
    <w:rsid w:val="006F78BA"/>
    <w:rPr>
      <w:rFonts w:ascii="Arial" w:hAnsi="Arial" w:cs="Times New Roman"/>
      <w:sz w:val="20"/>
      <w:szCs w:val="24"/>
    </w:rPr>
  </w:style>
  <w:style w:type="paragraph" w:styleId="Testofumetto">
    <w:name w:val="Balloon Text"/>
    <w:basedOn w:val="Normale"/>
    <w:link w:val="TestofumettoCarattere"/>
    <w:uiPriority w:val="99"/>
    <w:semiHidden/>
    <w:unhideWhenUsed/>
    <w:rsid w:val="006F78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8BA"/>
    <w:rPr>
      <w:rFonts w:ascii="Tahoma" w:hAnsi="Tahoma" w:cs="Tahoma"/>
      <w:sz w:val="16"/>
      <w:szCs w:val="16"/>
    </w:rPr>
  </w:style>
  <w:style w:type="character" w:styleId="Collegamentoipertestuale">
    <w:name w:val="Hyperlink"/>
    <w:basedOn w:val="Carpredefinitoparagrafo"/>
    <w:uiPriority w:val="99"/>
    <w:unhideWhenUsed/>
    <w:rsid w:val="00731429"/>
    <w:rPr>
      <w:color w:val="0000FF"/>
      <w:u w:val="single"/>
    </w:rPr>
  </w:style>
  <w:style w:type="character" w:styleId="Rimandocommento">
    <w:name w:val="annotation reference"/>
    <w:basedOn w:val="Carpredefinitoparagrafo"/>
    <w:uiPriority w:val="99"/>
    <w:semiHidden/>
    <w:unhideWhenUsed/>
    <w:rsid w:val="005D7382"/>
    <w:rPr>
      <w:sz w:val="16"/>
      <w:szCs w:val="16"/>
    </w:rPr>
  </w:style>
  <w:style w:type="paragraph" w:styleId="Testocommento">
    <w:name w:val="annotation text"/>
    <w:basedOn w:val="Normale"/>
    <w:link w:val="TestocommentoCarattere"/>
    <w:uiPriority w:val="99"/>
    <w:semiHidden/>
    <w:unhideWhenUsed/>
    <w:rsid w:val="005D7382"/>
    <w:rPr>
      <w:szCs w:val="20"/>
    </w:rPr>
  </w:style>
  <w:style w:type="character" w:customStyle="1" w:styleId="TestocommentoCarattere">
    <w:name w:val="Testo commento Carattere"/>
    <w:basedOn w:val="Carpredefinitoparagrafo"/>
    <w:link w:val="Testocommento"/>
    <w:uiPriority w:val="99"/>
    <w:semiHidden/>
    <w:rsid w:val="005D738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5D7382"/>
    <w:rPr>
      <w:b/>
      <w:bCs/>
    </w:rPr>
  </w:style>
  <w:style w:type="character" w:customStyle="1" w:styleId="SoggettocommentoCarattere">
    <w:name w:val="Soggetto commento Carattere"/>
    <w:basedOn w:val="TestocommentoCarattere"/>
    <w:link w:val="Soggettocommento"/>
    <w:uiPriority w:val="99"/>
    <w:semiHidden/>
    <w:rsid w:val="005D7382"/>
    <w:rPr>
      <w:rFonts w:ascii="Arial" w:hAnsi="Arial" w:cs="Times New Roman"/>
      <w:b/>
      <w:bCs/>
      <w:sz w:val="20"/>
      <w:szCs w:val="20"/>
    </w:rPr>
  </w:style>
  <w:style w:type="paragraph" w:styleId="Testonotaapidipagina">
    <w:name w:val="footnote text"/>
    <w:basedOn w:val="Normale"/>
    <w:link w:val="TestonotaapidipaginaCarattere"/>
    <w:uiPriority w:val="99"/>
    <w:semiHidden/>
    <w:unhideWhenUsed/>
    <w:rsid w:val="00B71AD8"/>
    <w:rPr>
      <w:rFonts w:asciiTheme="minorHAnsi" w:eastAsiaTheme="minorHAnsi" w:hAnsiTheme="minorHAnsi"/>
      <w:szCs w:val="20"/>
      <w:lang w:val="en-US" w:eastAsia="ja-JP"/>
    </w:rPr>
  </w:style>
  <w:style w:type="character" w:customStyle="1" w:styleId="TestonotaapidipaginaCarattere">
    <w:name w:val="Testo nota a piè di pagina Carattere"/>
    <w:basedOn w:val="Carpredefinitoparagrafo"/>
    <w:link w:val="Testonotaapidipagina"/>
    <w:uiPriority w:val="99"/>
    <w:semiHidden/>
    <w:rsid w:val="00B71AD8"/>
    <w:rPr>
      <w:rFonts w:eastAsiaTheme="minorHAnsi" w:cs="Times New Roman"/>
      <w:sz w:val="20"/>
      <w:szCs w:val="20"/>
      <w:lang w:val="en-US" w:eastAsia="ja-JP"/>
    </w:rPr>
  </w:style>
  <w:style w:type="character" w:styleId="Rimandonotaapidipagina">
    <w:name w:val="footnote reference"/>
    <w:basedOn w:val="Carpredefinitoparagrafo"/>
    <w:uiPriority w:val="99"/>
    <w:semiHidden/>
    <w:unhideWhenUsed/>
    <w:rsid w:val="00B71AD8"/>
    <w:rPr>
      <w:vertAlign w:val="superscript"/>
    </w:rPr>
  </w:style>
  <w:style w:type="paragraph" w:customStyle="1" w:styleId="Default">
    <w:name w:val="Default"/>
    <w:rsid w:val="00B71AD8"/>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Paragrafoelenco">
    <w:name w:val="List Paragraph"/>
    <w:basedOn w:val="Normale"/>
    <w:uiPriority w:val="34"/>
    <w:qFormat/>
    <w:rsid w:val="003B4D3E"/>
    <w:pPr>
      <w:ind w:left="720"/>
      <w:contextualSpacing/>
    </w:pPr>
    <w:rPr>
      <w:rFonts w:asciiTheme="minorHAnsi" w:eastAsiaTheme="minorHAnsi" w:hAnsiTheme="minorHAnsi"/>
      <w:sz w:val="21"/>
      <w:lang w:val="en-US" w:eastAsia="ja-JP"/>
    </w:rPr>
  </w:style>
  <w:style w:type="paragraph" w:styleId="Nessunaspaziatura">
    <w:name w:val="No Spacing"/>
    <w:uiPriority w:val="1"/>
    <w:qFormat/>
    <w:rsid w:val="003B4D3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83449">
      <w:bodyDiv w:val="1"/>
      <w:marLeft w:val="0"/>
      <w:marRight w:val="0"/>
      <w:marTop w:val="0"/>
      <w:marBottom w:val="0"/>
      <w:divBdr>
        <w:top w:val="none" w:sz="0" w:space="0" w:color="auto"/>
        <w:left w:val="none" w:sz="0" w:space="0" w:color="auto"/>
        <w:bottom w:val="none" w:sz="0" w:space="0" w:color="auto"/>
        <w:right w:val="none" w:sz="0" w:space="0" w:color="auto"/>
      </w:divBdr>
      <w:divsChild>
        <w:div w:id="993097907">
          <w:marLeft w:val="446"/>
          <w:marRight w:val="0"/>
          <w:marTop w:val="360"/>
          <w:marBottom w:val="0"/>
          <w:divBdr>
            <w:top w:val="none" w:sz="0" w:space="0" w:color="auto"/>
            <w:left w:val="none" w:sz="0" w:space="0" w:color="auto"/>
            <w:bottom w:val="none" w:sz="0" w:space="0" w:color="auto"/>
            <w:right w:val="none" w:sz="0" w:space="0" w:color="auto"/>
          </w:divBdr>
        </w:div>
      </w:divsChild>
    </w:div>
    <w:div w:id="1580479990">
      <w:bodyDiv w:val="1"/>
      <w:marLeft w:val="0"/>
      <w:marRight w:val="0"/>
      <w:marTop w:val="0"/>
      <w:marBottom w:val="0"/>
      <w:divBdr>
        <w:top w:val="none" w:sz="0" w:space="0" w:color="auto"/>
        <w:left w:val="none" w:sz="0" w:space="0" w:color="auto"/>
        <w:bottom w:val="none" w:sz="0" w:space="0" w:color="auto"/>
        <w:right w:val="none" w:sz="0" w:space="0" w:color="auto"/>
      </w:divBdr>
    </w:div>
    <w:div w:id="1773164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404">
          <w:marLeft w:val="446"/>
          <w:marRight w:val="0"/>
          <w:marTop w:val="360"/>
          <w:marBottom w:val="0"/>
          <w:divBdr>
            <w:top w:val="none" w:sz="0" w:space="0" w:color="auto"/>
            <w:left w:val="none" w:sz="0" w:space="0" w:color="auto"/>
            <w:bottom w:val="none" w:sz="0" w:space="0" w:color="auto"/>
            <w:right w:val="none" w:sz="0" w:space="0" w:color="auto"/>
          </w:divBdr>
        </w:div>
      </w:divsChild>
    </w:div>
    <w:div w:id="2033603141">
      <w:bodyDiv w:val="1"/>
      <w:marLeft w:val="0"/>
      <w:marRight w:val="0"/>
      <w:marTop w:val="0"/>
      <w:marBottom w:val="0"/>
      <w:divBdr>
        <w:top w:val="none" w:sz="0" w:space="0" w:color="auto"/>
        <w:left w:val="none" w:sz="0" w:space="0" w:color="auto"/>
        <w:bottom w:val="none" w:sz="0" w:space="0" w:color="auto"/>
        <w:right w:val="none" w:sz="0" w:space="0" w:color="auto"/>
      </w:divBdr>
      <w:divsChild>
        <w:div w:id="824780285">
          <w:marLeft w:val="446"/>
          <w:marRight w:val="0"/>
          <w:marTop w:val="360"/>
          <w:marBottom w:val="0"/>
          <w:divBdr>
            <w:top w:val="none" w:sz="0" w:space="0" w:color="auto"/>
            <w:left w:val="none" w:sz="0" w:space="0" w:color="auto"/>
            <w:bottom w:val="none" w:sz="0" w:space="0" w:color="auto"/>
            <w:right w:val="none" w:sz="0" w:space="0" w:color="auto"/>
          </w:divBdr>
        </w:div>
      </w:divsChild>
    </w:div>
    <w:div w:id="2039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gone@barabi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3B68-572C-411F-8BE2-07B01A3A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1881</Words>
  <Characters>10725</Characters>
  <Application>Microsoft Office Word</Application>
  <DocSecurity>0</DocSecurity>
  <Lines>89</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FTI Consulting</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Cat</dc:creator>
  <cp:lastModifiedBy>Ragone Sabrina</cp:lastModifiedBy>
  <cp:revision>7</cp:revision>
  <cp:lastPrinted>2018-03-26T15:23:00Z</cp:lastPrinted>
  <dcterms:created xsi:type="dcterms:W3CDTF">2018-05-15T08:40:00Z</dcterms:created>
  <dcterms:modified xsi:type="dcterms:W3CDTF">2018-05-15T08:53:00Z</dcterms:modified>
</cp:coreProperties>
</file>